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D70" w:rsidRPr="002E4B4C" w:rsidRDefault="00C805F2" w:rsidP="00000D70">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jc w:val="both"/>
        <w:rPr>
          <w:rFonts w:ascii="Verdana" w:hAnsi="Verdana"/>
          <w:b/>
          <w:sz w:val="20"/>
          <w:szCs w:val="20"/>
        </w:rPr>
      </w:pPr>
      <w:r w:rsidRPr="002E4B4C">
        <w:rPr>
          <w:rFonts w:ascii="Verdana" w:hAnsi="Verdana"/>
          <w:b/>
          <w:sz w:val="20"/>
          <w:szCs w:val="20"/>
        </w:rPr>
        <w:t>COME RICONOSCERE I SACCHETTI CONFORMI</w:t>
      </w:r>
    </w:p>
    <w:p w:rsidR="00172914" w:rsidRPr="002E4B4C" w:rsidRDefault="00172914" w:rsidP="00813294">
      <w:pPr>
        <w:autoSpaceDE w:val="0"/>
        <w:autoSpaceDN w:val="0"/>
        <w:adjustRightInd w:val="0"/>
        <w:jc w:val="both"/>
        <w:rPr>
          <w:rFonts w:ascii="Verdana" w:hAnsi="Verdana"/>
          <w:b/>
          <w:sz w:val="20"/>
          <w:szCs w:val="20"/>
        </w:rPr>
      </w:pPr>
    </w:p>
    <w:p w:rsidR="00813294" w:rsidRPr="002E4B4C" w:rsidRDefault="00813294" w:rsidP="00813294">
      <w:pPr>
        <w:autoSpaceDE w:val="0"/>
        <w:autoSpaceDN w:val="0"/>
        <w:adjustRightInd w:val="0"/>
        <w:rPr>
          <w:rFonts w:ascii="Verdana" w:hAnsi="Verdana" w:cs="AsterStccNero-Bold"/>
          <w:b/>
          <w:bCs/>
          <w:sz w:val="20"/>
          <w:szCs w:val="20"/>
        </w:rPr>
      </w:pPr>
    </w:p>
    <w:p w:rsidR="00AB5E22" w:rsidRPr="002E4B4C" w:rsidRDefault="00AB5E22" w:rsidP="00AB5E22">
      <w:pPr>
        <w:autoSpaceDE w:val="0"/>
        <w:autoSpaceDN w:val="0"/>
        <w:adjustRightInd w:val="0"/>
        <w:jc w:val="both"/>
        <w:rPr>
          <w:rFonts w:ascii="Verdana" w:hAnsi="Verdana"/>
          <w:b/>
          <w:color w:val="000000"/>
          <w:sz w:val="20"/>
          <w:szCs w:val="20"/>
        </w:rPr>
      </w:pPr>
      <w:r w:rsidRPr="002E4B4C">
        <w:rPr>
          <w:rFonts w:ascii="Verdana" w:hAnsi="Verdana"/>
          <w:b/>
          <w:color w:val="000000"/>
          <w:sz w:val="20"/>
          <w:szCs w:val="20"/>
        </w:rPr>
        <w:t>Caratteristiche dei sacchetti</w:t>
      </w:r>
    </w:p>
    <w:p w:rsidR="00AB5E22" w:rsidRPr="002E4B4C" w:rsidRDefault="00AB5E22" w:rsidP="00AB5E22">
      <w:pPr>
        <w:autoSpaceDE w:val="0"/>
        <w:autoSpaceDN w:val="0"/>
        <w:adjustRightInd w:val="0"/>
        <w:jc w:val="both"/>
        <w:rPr>
          <w:rFonts w:ascii="Verdana" w:hAnsi="Verdana"/>
          <w:color w:val="000000"/>
          <w:sz w:val="20"/>
          <w:szCs w:val="20"/>
        </w:rPr>
      </w:pPr>
      <w:r w:rsidRPr="002E4B4C">
        <w:rPr>
          <w:rFonts w:ascii="Verdana" w:hAnsi="Verdana"/>
          <w:color w:val="000000"/>
          <w:sz w:val="20"/>
          <w:szCs w:val="20"/>
        </w:rPr>
        <w:t>Le sanzioni pecuniarie previste riguardano la commercializzazione di sacchetti per la spesa in plastica, ad eccezione di quelli monouso biodegradabili e compostabili secondo la norma UNI EN 13432:2002 e di quelli riutilizzabili secondo precisi requisiti di spessore:</w:t>
      </w:r>
    </w:p>
    <w:p w:rsidR="00AB5E22" w:rsidRPr="002E4B4C" w:rsidRDefault="00AB5E22" w:rsidP="00AB5E22">
      <w:pPr>
        <w:pStyle w:val="Paragrafoelenco"/>
        <w:numPr>
          <w:ilvl w:val="0"/>
          <w:numId w:val="7"/>
        </w:numPr>
        <w:autoSpaceDE w:val="0"/>
        <w:autoSpaceDN w:val="0"/>
        <w:adjustRightInd w:val="0"/>
        <w:jc w:val="both"/>
        <w:rPr>
          <w:rFonts w:ascii="Verdana" w:hAnsi="Verdana"/>
          <w:color w:val="000000"/>
          <w:sz w:val="20"/>
          <w:szCs w:val="20"/>
        </w:rPr>
      </w:pPr>
      <w:r w:rsidRPr="002E4B4C">
        <w:rPr>
          <w:rFonts w:ascii="Verdana" w:hAnsi="Verdana"/>
          <w:color w:val="000000"/>
          <w:sz w:val="20"/>
          <w:szCs w:val="20"/>
        </w:rPr>
        <w:t>200 micron per i sacchi con maniglia esterna destinati all'uso alimentare;</w:t>
      </w:r>
    </w:p>
    <w:p w:rsidR="00AB5E22" w:rsidRPr="002E4B4C" w:rsidRDefault="00AB5E22" w:rsidP="00AB5E22">
      <w:pPr>
        <w:pStyle w:val="Paragrafoelenco"/>
        <w:numPr>
          <w:ilvl w:val="0"/>
          <w:numId w:val="7"/>
        </w:numPr>
        <w:autoSpaceDE w:val="0"/>
        <w:autoSpaceDN w:val="0"/>
        <w:adjustRightInd w:val="0"/>
        <w:jc w:val="both"/>
        <w:rPr>
          <w:rFonts w:ascii="Verdana" w:hAnsi="Verdana"/>
          <w:color w:val="000000"/>
          <w:sz w:val="20"/>
          <w:szCs w:val="20"/>
        </w:rPr>
      </w:pPr>
      <w:r w:rsidRPr="002E4B4C">
        <w:rPr>
          <w:rFonts w:ascii="Verdana" w:hAnsi="Verdana"/>
          <w:color w:val="000000"/>
          <w:sz w:val="20"/>
          <w:szCs w:val="20"/>
        </w:rPr>
        <w:t>100 micron per i sacchi con maniglia esterna non destinati all'uso alimentare;</w:t>
      </w:r>
    </w:p>
    <w:p w:rsidR="00AB5E22" w:rsidRPr="002E4B4C" w:rsidRDefault="00AB5E22" w:rsidP="00AB5E22">
      <w:pPr>
        <w:pStyle w:val="Paragrafoelenco"/>
        <w:numPr>
          <w:ilvl w:val="0"/>
          <w:numId w:val="7"/>
        </w:numPr>
        <w:autoSpaceDE w:val="0"/>
        <w:autoSpaceDN w:val="0"/>
        <w:adjustRightInd w:val="0"/>
        <w:jc w:val="both"/>
        <w:rPr>
          <w:rFonts w:ascii="Verdana" w:hAnsi="Verdana"/>
          <w:color w:val="000000"/>
          <w:sz w:val="20"/>
          <w:szCs w:val="20"/>
        </w:rPr>
      </w:pPr>
      <w:r w:rsidRPr="002E4B4C">
        <w:rPr>
          <w:rFonts w:ascii="Verdana" w:hAnsi="Verdana"/>
          <w:color w:val="000000"/>
          <w:sz w:val="20"/>
          <w:szCs w:val="20"/>
        </w:rPr>
        <w:t>per i sacchi senza manici esterni, 100 micron se destinati all'uso alimentare, 60 micron se non destinati all'uso alimentare.</w:t>
      </w:r>
    </w:p>
    <w:p w:rsidR="00AB5E22" w:rsidRPr="002E4B4C" w:rsidRDefault="00AB5E22" w:rsidP="00AB5E22">
      <w:pPr>
        <w:autoSpaceDE w:val="0"/>
        <w:autoSpaceDN w:val="0"/>
        <w:adjustRightInd w:val="0"/>
        <w:jc w:val="both"/>
        <w:rPr>
          <w:rFonts w:ascii="Verdana" w:hAnsi="Verdana"/>
          <w:color w:val="000000"/>
          <w:sz w:val="20"/>
          <w:szCs w:val="20"/>
        </w:rPr>
      </w:pPr>
    </w:p>
    <w:p w:rsidR="00C313E1" w:rsidRPr="002E4B4C" w:rsidRDefault="00C313E1" w:rsidP="00AB5E22">
      <w:pPr>
        <w:autoSpaceDE w:val="0"/>
        <w:autoSpaceDN w:val="0"/>
        <w:adjustRightInd w:val="0"/>
        <w:jc w:val="both"/>
        <w:rPr>
          <w:rFonts w:ascii="Verdana" w:hAnsi="Verdana"/>
          <w:color w:val="000000"/>
          <w:sz w:val="20"/>
          <w:szCs w:val="20"/>
        </w:rPr>
      </w:pPr>
      <w:r w:rsidRPr="002E4B4C">
        <w:rPr>
          <w:rFonts w:ascii="Verdana" w:hAnsi="Verdana"/>
          <w:color w:val="000000"/>
          <w:sz w:val="20"/>
          <w:szCs w:val="20"/>
        </w:rPr>
        <w:t>E’ altresì consentita la commercializzazione di sacchetti realizzati in carta, in tessuti di fibre naturali, in fibre di poliammide e in materiali diversi dalla plastica.</w:t>
      </w:r>
    </w:p>
    <w:p w:rsidR="00C313E1" w:rsidRPr="002E4B4C" w:rsidRDefault="00C313E1" w:rsidP="00AB5E22">
      <w:pPr>
        <w:autoSpaceDE w:val="0"/>
        <w:autoSpaceDN w:val="0"/>
        <w:adjustRightInd w:val="0"/>
        <w:jc w:val="both"/>
        <w:rPr>
          <w:rFonts w:ascii="Verdana" w:hAnsi="Verdana"/>
          <w:color w:val="000000"/>
          <w:sz w:val="20"/>
          <w:szCs w:val="20"/>
        </w:rPr>
      </w:pPr>
    </w:p>
    <w:p w:rsidR="00B205AC" w:rsidRPr="002E4B4C" w:rsidRDefault="00B205AC" w:rsidP="00B205AC">
      <w:pPr>
        <w:autoSpaceDE w:val="0"/>
        <w:autoSpaceDN w:val="0"/>
        <w:adjustRightInd w:val="0"/>
        <w:jc w:val="both"/>
        <w:rPr>
          <w:rFonts w:ascii="Verdana" w:hAnsi="Verdana"/>
          <w:color w:val="000000"/>
          <w:sz w:val="20"/>
          <w:szCs w:val="20"/>
        </w:rPr>
      </w:pPr>
      <w:r w:rsidRPr="002E4B4C">
        <w:rPr>
          <w:rFonts w:ascii="Verdana" w:hAnsi="Verdana"/>
          <w:color w:val="000000"/>
          <w:sz w:val="20"/>
          <w:szCs w:val="20"/>
        </w:rPr>
        <w:t xml:space="preserve">Per quanto riguarda i sacchi monouso biodegradabili e compostabili la norma armonizzata UNI EN 13432:2002 ("Requisiti per imballaggi recuperabili mediante compostaggio e biodegradazione – Schema di prova e criteri di valutazione per l'accettazione finale degli imballaggi"), indica i criteri di valutazione dei materiali stabilendo le tempistiche e indicando i </w:t>
      </w:r>
      <w:r w:rsidRPr="002E4B4C">
        <w:rPr>
          <w:rFonts w:ascii="Verdana" w:hAnsi="Verdana"/>
          <w:i/>
          <w:color w:val="000000"/>
          <w:sz w:val="20"/>
          <w:szCs w:val="20"/>
        </w:rPr>
        <w:t xml:space="preserve">Pass </w:t>
      </w:r>
      <w:proofErr w:type="spellStart"/>
      <w:r w:rsidRPr="002E4B4C">
        <w:rPr>
          <w:rFonts w:ascii="Verdana" w:hAnsi="Verdana"/>
          <w:i/>
          <w:color w:val="000000"/>
          <w:sz w:val="20"/>
          <w:szCs w:val="20"/>
        </w:rPr>
        <w:t>level</w:t>
      </w:r>
      <w:proofErr w:type="spellEnd"/>
      <w:r w:rsidRPr="002E4B4C">
        <w:rPr>
          <w:rFonts w:ascii="Verdana" w:hAnsi="Verdana"/>
          <w:color w:val="000000"/>
          <w:sz w:val="20"/>
          <w:szCs w:val="20"/>
        </w:rPr>
        <w:t xml:space="preserve"> richiesti per determinare la </w:t>
      </w:r>
      <w:proofErr w:type="spellStart"/>
      <w:r w:rsidRPr="002E4B4C">
        <w:rPr>
          <w:rFonts w:ascii="Verdana" w:hAnsi="Verdana"/>
          <w:color w:val="000000"/>
          <w:sz w:val="20"/>
          <w:szCs w:val="20"/>
        </w:rPr>
        <w:t>compostabilità</w:t>
      </w:r>
      <w:proofErr w:type="spellEnd"/>
      <w:r w:rsidRPr="002E4B4C">
        <w:rPr>
          <w:rFonts w:ascii="Verdana" w:hAnsi="Verdana"/>
          <w:color w:val="000000"/>
          <w:sz w:val="20"/>
          <w:szCs w:val="20"/>
        </w:rPr>
        <w:t xml:space="preserve"> di un imballaggio.</w:t>
      </w:r>
    </w:p>
    <w:p w:rsidR="00B205AC" w:rsidRPr="002E4B4C" w:rsidRDefault="00B205AC" w:rsidP="00B205AC">
      <w:pPr>
        <w:autoSpaceDE w:val="0"/>
        <w:autoSpaceDN w:val="0"/>
        <w:adjustRightInd w:val="0"/>
        <w:jc w:val="both"/>
        <w:rPr>
          <w:rFonts w:ascii="Verdana" w:hAnsi="Verdana"/>
          <w:color w:val="000000"/>
          <w:sz w:val="20"/>
          <w:szCs w:val="20"/>
        </w:rPr>
      </w:pPr>
    </w:p>
    <w:p w:rsidR="00B205AC" w:rsidRPr="002E4B4C" w:rsidRDefault="00B205AC" w:rsidP="00B205AC">
      <w:pPr>
        <w:autoSpaceDE w:val="0"/>
        <w:autoSpaceDN w:val="0"/>
        <w:adjustRightInd w:val="0"/>
        <w:jc w:val="both"/>
        <w:rPr>
          <w:rFonts w:ascii="Verdana" w:hAnsi="Verdana"/>
          <w:color w:val="000000"/>
          <w:sz w:val="20"/>
          <w:szCs w:val="20"/>
        </w:rPr>
      </w:pPr>
      <w:r w:rsidRPr="002E4B4C">
        <w:rPr>
          <w:rFonts w:ascii="Verdana" w:hAnsi="Verdana"/>
          <w:color w:val="000000"/>
          <w:sz w:val="20"/>
          <w:szCs w:val="20"/>
        </w:rPr>
        <w:t>Tali criteri necessari per soddisfare i requisiti fondamentali della EN 13432 sono:</w:t>
      </w:r>
    </w:p>
    <w:p w:rsidR="00B205AC" w:rsidRPr="002E4B4C" w:rsidRDefault="00B205AC" w:rsidP="00B205AC">
      <w:pPr>
        <w:autoSpaceDE w:val="0"/>
        <w:autoSpaceDN w:val="0"/>
        <w:adjustRightInd w:val="0"/>
        <w:jc w:val="both"/>
        <w:rPr>
          <w:rFonts w:ascii="Verdana" w:hAnsi="Verdana"/>
          <w:color w:val="000000"/>
          <w:sz w:val="20"/>
          <w:szCs w:val="20"/>
        </w:rPr>
      </w:pPr>
      <w:r w:rsidRPr="002E4B4C">
        <w:rPr>
          <w:rFonts w:ascii="Verdana" w:hAnsi="Verdana"/>
          <w:i/>
          <w:color w:val="000000"/>
          <w:sz w:val="20"/>
          <w:szCs w:val="20"/>
        </w:rPr>
        <w:t>la caratterizzazione del materiale e composizione chimica</w:t>
      </w:r>
      <w:r w:rsidRPr="002E4B4C">
        <w:rPr>
          <w:rFonts w:ascii="Verdana" w:hAnsi="Verdana"/>
          <w:color w:val="000000"/>
          <w:sz w:val="20"/>
          <w:szCs w:val="20"/>
        </w:rPr>
        <w:t>: il materiale deve avere solidi volatili superiori al 50% e deve rispettare i limiti esposti in tabella per quanto riguarda il contenuto di metalli e sostanze pericolose.</w:t>
      </w:r>
    </w:p>
    <w:p w:rsidR="00B205AC" w:rsidRPr="002E4B4C" w:rsidRDefault="00B205AC" w:rsidP="00B205AC">
      <w:pPr>
        <w:autoSpaceDE w:val="0"/>
        <w:autoSpaceDN w:val="0"/>
        <w:adjustRightInd w:val="0"/>
        <w:jc w:val="both"/>
        <w:rPr>
          <w:rFonts w:ascii="Verdana" w:hAnsi="Verdana"/>
          <w:color w:val="000000"/>
          <w:sz w:val="20"/>
          <w:szCs w:val="20"/>
        </w:rPr>
      </w:pPr>
    </w:p>
    <w:p w:rsidR="00B205AC" w:rsidRPr="002E4B4C" w:rsidRDefault="00B205AC" w:rsidP="00B205AC">
      <w:pPr>
        <w:autoSpaceDE w:val="0"/>
        <w:autoSpaceDN w:val="0"/>
        <w:adjustRightInd w:val="0"/>
        <w:jc w:val="center"/>
        <w:rPr>
          <w:rFonts w:ascii="Verdana" w:hAnsi="Verdana"/>
          <w:color w:val="000000"/>
          <w:sz w:val="20"/>
          <w:szCs w:val="20"/>
        </w:rPr>
      </w:pPr>
      <w:r w:rsidRPr="002E4B4C">
        <w:rPr>
          <w:rFonts w:ascii="Verdana" w:hAnsi="Verdana"/>
          <w:noProof/>
          <w:color w:val="000000"/>
          <w:sz w:val="20"/>
          <w:szCs w:val="20"/>
          <w:lang w:eastAsia="it-IT"/>
        </w:rPr>
        <w:drawing>
          <wp:inline distT="0" distB="0" distL="0" distR="0" wp14:anchorId="54C80F39" wp14:editId="19FCD59A">
            <wp:extent cx="4372854" cy="1181936"/>
            <wp:effectExtent l="0" t="0" r="8890" b="0"/>
            <wp:docPr id="8" name="Immagine 8" descr="Contenuto massimo di un elemento del materiale di imballaggio e dell'intero imballag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enuto massimo di un elemento del materiale di imballaggio e dell'intero imballaggi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73408" cy="1182086"/>
                    </a:xfrm>
                    <a:prstGeom prst="rect">
                      <a:avLst/>
                    </a:prstGeom>
                    <a:noFill/>
                    <a:ln>
                      <a:noFill/>
                    </a:ln>
                  </pic:spPr>
                </pic:pic>
              </a:graphicData>
            </a:graphic>
          </wp:inline>
        </w:drawing>
      </w:r>
    </w:p>
    <w:p w:rsidR="00B205AC" w:rsidRPr="002E4B4C" w:rsidRDefault="00B205AC" w:rsidP="00B205AC">
      <w:pPr>
        <w:autoSpaceDE w:val="0"/>
        <w:autoSpaceDN w:val="0"/>
        <w:adjustRightInd w:val="0"/>
        <w:jc w:val="both"/>
        <w:rPr>
          <w:rFonts w:ascii="Verdana" w:hAnsi="Verdana"/>
          <w:color w:val="000000"/>
          <w:sz w:val="20"/>
          <w:szCs w:val="20"/>
        </w:rPr>
      </w:pPr>
      <w:r w:rsidRPr="002E4B4C">
        <w:rPr>
          <w:rFonts w:ascii="Verdana" w:hAnsi="Verdana"/>
          <w:color w:val="000000"/>
          <w:sz w:val="20"/>
          <w:szCs w:val="20"/>
        </w:rPr>
        <w:t> </w:t>
      </w:r>
    </w:p>
    <w:p w:rsidR="00B205AC" w:rsidRPr="002E4B4C" w:rsidRDefault="00B205AC" w:rsidP="00B205AC">
      <w:pPr>
        <w:autoSpaceDE w:val="0"/>
        <w:autoSpaceDN w:val="0"/>
        <w:adjustRightInd w:val="0"/>
        <w:jc w:val="both"/>
        <w:rPr>
          <w:rFonts w:ascii="Verdana" w:hAnsi="Verdana"/>
          <w:color w:val="000000"/>
          <w:sz w:val="20"/>
          <w:szCs w:val="20"/>
        </w:rPr>
      </w:pPr>
      <w:r w:rsidRPr="002E4B4C">
        <w:rPr>
          <w:rFonts w:ascii="Verdana" w:hAnsi="Verdana"/>
          <w:i/>
          <w:color w:val="000000"/>
          <w:sz w:val="20"/>
          <w:szCs w:val="20"/>
        </w:rPr>
        <w:t>biodegradabilità</w:t>
      </w:r>
      <w:r w:rsidRPr="002E4B4C">
        <w:rPr>
          <w:rFonts w:ascii="Verdana" w:hAnsi="Verdana"/>
          <w:color w:val="000000"/>
          <w:sz w:val="20"/>
          <w:szCs w:val="20"/>
        </w:rPr>
        <w:t>: cioè la degradazione del materiale che compone l'imballaggio grazie all'azione di microorganismi in CO2, acqua e biomassa. La norma stabilisce che in 180 giorni dev'essere raggiunta una percentuale di biodegradazione maggiore o uguale al 90%. La norma tollera la presenza di componenti organici non biodegradabili nei seguenti termini: ogni componente organico non biodegradabile dev'essere presente con una percentuale inferiore all'1%, per un massimo di 5 componenti (quindi la somma dei componenti non biodegradabili non dev'essere superiore  al 5%).</w:t>
      </w:r>
    </w:p>
    <w:p w:rsidR="00B205AC" w:rsidRPr="002E4B4C" w:rsidRDefault="00B205AC" w:rsidP="00B205AC">
      <w:pPr>
        <w:autoSpaceDE w:val="0"/>
        <w:autoSpaceDN w:val="0"/>
        <w:adjustRightInd w:val="0"/>
        <w:jc w:val="both"/>
        <w:rPr>
          <w:rFonts w:ascii="Verdana" w:hAnsi="Verdana"/>
          <w:color w:val="000000"/>
          <w:sz w:val="20"/>
          <w:szCs w:val="20"/>
        </w:rPr>
      </w:pPr>
      <w:r w:rsidRPr="002E4B4C">
        <w:rPr>
          <w:rFonts w:ascii="Verdana" w:hAnsi="Verdana"/>
          <w:i/>
          <w:color w:val="000000"/>
          <w:sz w:val="20"/>
          <w:szCs w:val="20"/>
        </w:rPr>
        <w:t>disintegrazione</w:t>
      </w:r>
      <w:r w:rsidRPr="002E4B4C">
        <w:rPr>
          <w:rFonts w:ascii="Verdana" w:hAnsi="Verdana"/>
          <w:color w:val="000000"/>
          <w:sz w:val="20"/>
          <w:szCs w:val="20"/>
        </w:rPr>
        <w:t>: la norma stabilisce che in 12 settimane il materiale che compone l'imballaggio deve disintegrarsi in modo da permettere che almeno il 90 % del materiale ottenuto passi attraverso un setaccio di maglia 2 mm x 2 mm.</w:t>
      </w:r>
    </w:p>
    <w:p w:rsidR="00B205AC" w:rsidRPr="002E4B4C" w:rsidRDefault="00B205AC" w:rsidP="00B205AC">
      <w:pPr>
        <w:autoSpaceDE w:val="0"/>
        <w:autoSpaceDN w:val="0"/>
        <w:adjustRightInd w:val="0"/>
        <w:jc w:val="both"/>
        <w:rPr>
          <w:rFonts w:ascii="Verdana" w:hAnsi="Verdana"/>
          <w:color w:val="000000"/>
          <w:sz w:val="20"/>
          <w:szCs w:val="20"/>
        </w:rPr>
      </w:pPr>
      <w:r w:rsidRPr="002E4B4C">
        <w:rPr>
          <w:rFonts w:ascii="Verdana" w:hAnsi="Verdana"/>
          <w:i/>
          <w:color w:val="000000"/>
          <w:sz w:val="20"/>
          <w:szCs w:val="20"/>
        </w:rPr>
        <w:t xml:space="preserve">qualità del Compost ed </w:t>
      </w:r>
      <w:proofErr w:type="spellStart"/>
      <w:r w:rsidRPr="002E4B4C">
        <w:rPr>
          <w:rFonts w:ascii="Verdana" w:hAnsi="Verdana"/>
          <w:i/>
          <w:color w:val="000000"/>
          <w:sz w:val="20"/>
          <w:szCs w:val="20"/>
        </w:rPr>
        <w:t>Ecotossicità</w:t>
      </w:r>
      <w:proofErr w:type="spellEnd"/>
      <w:r w:rsidRPr="002E4B4C">
        <w:rPr>
          <w:rFonts w:ascii="Verdana" w:hAnsi="Verdana"/>
          <w:color w:val="000000"/>
          <w:sz w:val="20"/>
          <w:szCs w:val="20"/>
        </w:rPr>
        <w:t>: dev'essere verificata l'assenza di effetti negativi dopo la disintegrazione dell'imballaggio. La norma prevede controlli chimico/fisici e una prova di germinazione di semi e crescita, nella quale il compost ottenuto dalla disintegrazione del campione deve dare un tasso di germinazione e crescita almeno del 90% rispetto al compost senza il campione. </w:t>
      </w:r>
    </w:p>
    <w:p w:rsidR="00B205AC" w:rsidRPr="002E4B4C" w:rsidRDefault="00B205AC" w:rsidP="00B205AC">
      <w:pPr>
        <w:autoSpaceDE w:val="0"/>
        <w:autoSpaceDN w:val="0"/>
        <w:adjustRightInd w:val="0"/>
        <w:jc w:val="both"/>
        <w:rPr>
          <w:rFonts w:ascii="Verdana" w:hAnsi="Verdana"/>
          <w:color w:val="000000"/>
          <w:sz w:val="20"/>
          <w:szCs w:val="20"/>
        </w:rPr>
      </w:pPr>
    </w:p>
    <w:p w:rsidR="00B205AC" w:rsidRPr="002E4B4C" w:rsidRDefault="00B205AC" w:rsidP="00B205AC">
      <w:pPr>
        <w:autoSpaceDE w:val="0"/>
        <w:autoSpaceDN w:val="0"/>
        <w:adjustRightInd w:val="0"/>
        <w:jc w:val="both"/>
        <w:rPr>
          <w:rFonts w:ascii="Verdana" w:hAnsi="Verdana"/>
          <w:color w:val="000000"/>
          <w:sz w:val="20"/>
          <w:szCs w:val="20"/>
        </w:rPr>
      </w:pPr>
      <w:r w:rsidRPr="002E4B4C">
        <w:rPr>
          <w:rFonts w:ascii="Verdana" w:hAnsi="Verdana"/>
          <w:color w:val="000000"/>
          <w:sz w:val="20"/>
          <w:szCs w:val="20"/>
        </w:rPr>
        <w:t>La certificazione dei materiali può avvalersi dei seguenti Marchi:</w:t>
      </w:r>
    </w:p>
    <w:p w:rsidR="00B205AC" w:rsidRPr="002E4B4C" w:rsidRDefault="00B205AC" w:rsidP="00B205AC">
      <w:pPr>
        <w:autoSpaceDE w:val="0"/>
        <w:autoSpaceDN w:val="0"/>
        <w:adjustRightInd w:val="0"/>
        <w:jc w:val="both"/>
        <w:rPr>
          <w:rFonts w:ascii="Verdana" w:hAnsi="Verdana"/>
          <w:color w:val="000000"/>
          <w:sz w:val="20"/>
          <w:szCs w:val="20"/>
        </w:rPr>
      </w:pPr>
      <w:r w:rsidRPr="002E4B4C">
        <w:rPr>
          <w:rFonts w:ascii="Verdana" w:hAnsi="Verdana"/>
          <w:b/>
          <w:color w:val="000000"/>
          <w:sz w:val="20"/>
          <w:szCs w:val="20"/>
        </w:rPr>
        <w:t>DIN-CERTCO</w:t>
      </w:r>
      <w:r w:rsidRPr="002E4B4C">
        <w:rPr>
          <w:rFonts w:ascii="Verdana" w:hAnsi="Verdana"/>
          <w:color w:val="000000"/>
          <w:sz w:val="20"/>
          <w:szCs w:val="20"/>
        </w:rPr>
        <w:t xml:space="preserve"> (D, UK, P, CH)  EN 13432, ASTM D6200</w:t>
      </w:r>
      <w:r w:rsidRPr="002E4B4C">
        <w:rPr>
          <w:rFonts w:ascii="Verdana" w:hAnsi="Verdana"/>
          <w:color w:val="000000"/>
          <w:sz w:val="20"/>
          <w:szCs w:val="20"/>
        </w:rPr>
        <w:br/>
      </w:r>
      <w:proofErr w:type="spellStart"/>
      <w:r w:rsidRPr="002E4B4C">
        <w:rPr>
          <w:rFonts w:ascii="Verdana" w:hAnsi="Verdana"/>
          <w:color w:val="000000"/>
          <w:sz w:val="20"/>
          <w:szCs w:val="20"/>
        </w:rPr>
        <w:t>Compostable</w:t>
      </w:r>
      <w:proofErr w:type="spellEnd"/>
      <w:r w:rsidRPr="002E4B4C">
        <w:rPr>
          <w:rFonts w:ascii="Verdana" w:hAnsi="Verdana"/>
          <w:color w:val="000000"/>
          <w:sz w:val="20"/>
          <w:szCs w:val="20"/>
        </w:rPr>
        <w:t xml:space="preserve">: </w:t>
      </w:r>
      <w:proofErr w:type="spellStart"/>
      <w:r w:rsidRPr="002E4B4C">
        <w:rPr>
          <w:rFonts w:ascii="Verdana" w:hAnsi="Verdana"/>
          <w:color w:val="000000"/>
          <w:sz w:val="20"/>
          <w:szCs w:val="20"/>
        </w:rPr>
        <w:t>Compostabilità</w:t>
      </w:r>
      <w:proofErr w:type="spellEnd"/>
      <w:r w:rsidRPr="002E4B4C">
        <w:rPr>
          <w:rFonts w:ascii="Verdana" w:hAnsi="Verdana"/>
          <w:color w:val="000000"/>
          <w:sz w:val="20"/>
          <w:szCs w:val="20"/>
        </w:rPr>
        <w:t xml:space="preserve"> con test di laboratorio. Certifica l'idoneità al Compostaggio Industriale</w:t>
      </w:r>
    </w:p>
    <w:p w:rsidR="00B205AC" w:rsidRPr="002E4B4C" w:rsidRDefault="00B205AC" w:rsidP="00B205AC">
      <w:pPr>
        <w:autoSpaceDE w:val="0"/>
        <w:autoSpaceDN w:val="0"/>
        <w:adjustRightInd w:val="0"/>
        <w:jc w:val="both"/>
        <w:rPr>
          <w:rFonts w:ascii="Verdana" w:hAnsi="Verdana"/>
          <w:color w:val="000000"/>
          <w:sz w:val="20"/>
          <w:szCs w:val="20"/>
        </w:rPr>
      </w:pPr>
    </w:p>
    <w:p w:rsidR="00B205AC" w:rsidRPr="002E4B4C" w:rsidRDefault="00B205AC" w:rsidP="00B205AC">
      <w:pPr>
        <w:autoSpaceDE w:val="0"/>
        <w:autoSpaceDN w:val="0"/>
        <w:adjustRightInd w:val="0"/>
        <w:jc w:val="both"/>
        <w:rPr>
          <w:rFonts w:ascii="Verdana" w:hAnsi="Verdana"/>
          <w:color w:val="000000"/>
          <w:sz w:val="20"/>
          <w:szCs w:val="20"/>
        </w:rPr>
      </w:pPr>
      <w:r w:rsidRPr="002E4B4C">
        <w:rPr>
          <w:rFonts w:ascii="Verdana" w:hAnsi="Verdana"/>
          <w:noProof/>
          <w:color w:val="000000"/>
          <w:sz w:val="20"/>
          <w:szCs w:val="20"/>
          <w:lang w:eastAsia="it-IT"/>
        </w:rPr>
        <w:lastRenderedPageBreak/>
        <w:drawing>
          <wp:inline distT="0" distB="0" distL="0" distR="0" wp14:anchorId="139B2AE6" wp14:editId="42C964A3">
            <wp:extent cx="1075352" cy="1262052"/>
            <wp:effectExtent l="0" t="0" r="0" b="0"/>
            <wp:docPr id="7" name="Immagine 7" descr="http://www.innovhub.it/image/image_gallery?uuid=0428e4c2-00c3-4f7b-9c2e-c8511af605de&amp;groupId=10157&amp;t=136860732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nnovhub.it/image/image_gallery?uuid=0428e4c2-00c3-4f7b-9c2e-c8511af605de&amp;groupId=10157&amp;t=136860732167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5420" cy="1262132"/>
                    </a:xfrm>
                    <a:prstGeom prst="rect">
                      <a:avLst/>
                    </a:prstGeom>
                    <a:noFill/>
                    <a:ln>
                      <a:noFill/>
                    </a:ln>
                  </pic:spPr>
                </pic:pic>
              </a:graphicData>
            </a:graphic>
          </wp:inline>
        </w:drawing>
      </w:r>
    </w:p>
    <w:p w:rsidR="00B205AC" w:rsidRPr="002E4B4C" w:rsidRDefault="00B205AC" w:rsidP="00B205AC">
      <w:pPr>
        <w:autoSpaceDE w:val="0"/>
        <w:autoSpaceDN w:val="0"/>
        <w:adjustRightInd w:val="0"/>
        <w:jc w:val="both"/>
        <w:rPr>
          <w:rFonts w:ascii="Verdana" w:hAnsi="Verdana"/>
          <w:color w:val="000000"/>
          <w:sz w:val="20"/>
          <w:szCs w:val="20"/>
        </w:rPr>
      </w:pPr>
      <w:r w:rsidRPr="002E4B4C">
        <w:rPr>
          <w:rFonts w:ascii="Verdana" w:hAnsi="Verdana"/>
          <w:b/>
          <w:color w:val="000000"/>
          <w:sz w:val="20"/>
          <w:szCs w:val="20"/>
        </w:rPr>
        <w:t xml:space="preserve">VINCOTTE </w:t>
      </w:r>
      <w:r w:rsidRPr="002E4B4C">
        <w:rPr>
          <w:rFonts w:ascii="Verdana" w:hAnsi="Verdana"/>
          <w:color w:val="000000"/>
          <w:sz w:val="20"/>
          <w:szCs w:val="20"/>
        </w:rPr>
        <w:t xml:space="preserve">(Belgio) EN 13432 – OK </w:t>
      </w:r>
      <w:proofErr w:type="spellStart"/>
      <w:r w:rsidRPr="002E4B4C">
        <w:rPr>
          <w:rFonts w:ascii="Verdana" w:hAnsi="Verdana"/>
          <w:color w:val="000000"/>
          <w:sz w:val="20"/>
          <w:szCs w:val="20"/>
        </w:rPr>
        <w:t>CompostCompostabilità</w:t>
      </w:r>
      <w:proofErr w:type="spellEnd"/>
      <w:r w:rsidRPr="002E4B4C">
        <w:rPr>
          <w:rFonts w:ascii="Verdana" w:hAnsi="Verdana"/>
          <w:color w:val="000000"/>
          <w:sz w:val="20"/>
          <w:szCs w:val="20"/>
        </w:rPr>
        <w:t xml:space="preserve"> con test di laboratorio. Certifica l'idoneità al Compostaggio Domestico e Industriale</w:t>
      </w:r>
    </w:p>
    <w:p w:rsidR="00B205AC" w:rsidRPr="002E4B4C" w:rsidRDefault="00B205AC" w:rsidP="00B205AC">
      <w:pPr>
        <w:autoSpaceDE w:val="0"/>
        <w:autoSpaceDN w:val="0"/>
        <w:adjustRightInd w:val="0"/>
        <w:jc w:val="both"/>
        <w:rPr>
          <w:rFonts w:ascii="Verdana" w:hAnsi="Verdana"/>
          <w:color w:val="000000"/>
          <w:sz w:val="20"/>
          <w:szCs w:val="20"/>
        </w:rPr>
      </w:pPr>
    </w:p>
    <w:p w:rsidR="00B205AC" w:rsidRPr="002E4B4C" w:rsidRDefault="00B205AC" w:rsidP="00B205AC">
      <w:pPr>
        <w:autoSpaceDE w:val="0"/>
        <w:autoSpaceDN w:val="0"/>
        <w:adjustRightInd w:val="0"/>
        <w:jc w:val="both"/>
        <w:rPr>
          <w:rFonts w:ascii="Verdana" w:hAnsi="Verdana"/>
          <w:color w:val="000000"/>
          <w:sz w:val="20"/>
          <w:szCs w:val="20"/>
        </w:rPr>
      </w:pPr>
      <w:r w:rsidRPr="002E4B4C">
        <w:rPr>
          <w:rFonts w:ascii="Verdana" w:hAnsi="Verdana"/>
          <w:noProof/>
          <w:color w:val="000000"/>
          <w:sz w:val="20"/>
          <w:szCs w:val="20"/>
          <w:lang w:eastAsia="it-IT"/>
        </w:rPr>
        <w:drawing>
          <wp:inline distT="0" distB="0" distL="0" distR="0" wp14:anchorId="4326AC10" wp14:editId="3DA3BC67">
            <wp:extent cx="2142490" cy="1057910"/>
            <wp:effectExtent l="0" t="0" r="0" b="8890"/>
            <wp:docPr id="4" name="Immagine 4" descr="http://www.innovhub.it/image/image_gallery?uuid=9855ae53-aa6b-4baa-bb10-86859d90051a&amp;groupId=10157&amp;t=1368607416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nnovhub.it/image/image_gallery?uuid=9855ae53-aa6b-4baa-bb10-86859d90051a&amp;groupId=10157&amp;t=13686074168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2490" cy="1057910"/>
                    </a:xfrm>
                    <a:prstGeom prst="rect">
                      <a:avLst/>
                    </a:prstGeom>
                    <a:noFill/>
                    <a:ln>
                      <a:noFill/>
                    </a:ln>
                  </pic:spPr>
                </pic:pic>
              </a:graphicData>
            </a:graphic>
          </wp:inline>
        </w:drawing>
      </w:r>
    </w:p>
    <w:p w:rsidR="00B205AC" w:rsidRPr="002E4B4C" w:rsidRDefault="00B205AC" w:rsidP="00B205AC">
      <w:pPr>
        <w:autoSpaceDE w:val="0"/>
        <w:autoSpaceDN w:val="0"/>
        <w:adjustRightInd w:val="0"/>
        <w:jc w:val="both"/>
        <w:rPr>
          <w:rFonts w:ascii="Verdana" w:hAnsi="Verdana"/>
          <w:color w:val="000000"/>
          <w:sz w:val="20"/>
          <w:szCs w:val="20"/>
        </w:rPr>
      </w:pPr>
      <w:r w:rsidRPr="002E4B4C">
        <w:rPr>
          <w:rFonts w:ascii="Verdana" w:hAnsi="Verdana"/>
          <w:color w:val="000000"/>
          <w:sz w:val="20"/>
          <w:szCs w:val="20"/>
        </w:rPr>
        <w:t> </w:t>
      </w:r>
    </w:p>
    <w:p w:rsidR="00B205AC" w:rsidRPr="002E4B4C" w:rsidRDefault="00B205AC" w:rsidP="00B205AC">
      <w:pPr>
        <w:autoSpaceDE w:val="0"/>
        <w:autoSpaceDN w:val="0"/>
        <w:adjustRightInd w:val="0"/>
        <w:jc w:val="both"/>
        <w:rPr>
          <w:rFonts w:ascii="Verdana" w:hAnsi="Verdana"/>
          <w:color w:val="000000"/>
          <w:sz w:val="20"/>
          <w:szCs w:val="20"/>
        </w:rPr>
      </w:pPr>
      <w:r w:rsidRPr="002E4B4C">
        <w:rPr>
          <w:rFonts w:ascii="Verdana" w:hAnsi="Verdana"/>
          <w:color w:val="000000"/>
          <w:sz w:val="20"/>
          <w:szCs w:val="20"/>
        </w:rPr>
        <w:t> </w:t>
      </w:r>
    </w:p>
    <w:p w:rsidR="00B205AC" w:rsidRPr="002E4B4C" w:rsidRDefault="00B205AC" w:rsidP="00B205AC">
      <w:pPr>
        <w:autoSpaceDE w:val="0"/>
        <w:autoSpaceDN w:val="0"/>
        <w:adjustRightInd w:val="0"/>
        <w:jc w:val="both"/>
        <w:rPr>
          <w:rFonts w:ascii="Verdana" w:hAnsi="Verdana"/>
          <w:color w:val="000000"/>
          <w:sz w:val="20"/>
          <w:szCs w:val="20"/>
        </w:rPr>
      </w:pPr>
      <w:r w:rsidRPr="002E4B4C">
        <w:rPr>
          <w:rFonts w:ascii="Verdana" w:hAnsi="Verdana"/>
          <w:color w:val="000000"/>
          <w:sz w:val="20"/>
          <w:szCs w:val="20"/>
        </w:rPr>
        <w:t> </w:t>
      </w:r>
    </w:p>
    <w:p w:rsidR="00B205AC" w:rsidRPr="002E4B4C" w:rsidRDefault="00B205AC" w:rsidP="00B205AC">
      <w:pPr>
        <w:autoSpaceDE w:val="0"/>
        <w:autoSpaceDN w:val="0"/>
        <w:adjustRightInd w:val="0"/>
        <w:jc w:val="both"/>
        <w:rPr>
          <w:rFonts w:ascii="Verdana" w:hAnsi="Verdana"/>
          <w:color w:val="000000"/>
          <w:sz w:val="20"/>
          <w:szCs w:val="20"/>
        </w:rPr>
      </w:pPr>
      <w:r w:rsidRPr="002E4B4C">
        <w:rPr>
          <w:rFonts w:ascii="Verdana" w:hAnsi="Verdana"/>
          <w:b/>
          <w:color w:val="000000"/>
          <w:sz w:val="20"/>
          <w:szCs w:val="20"/>
        </w:rPr>
        <w:t xml:space="preserve">CIC - </w:t>
      </w:r>
      <w:proofErr w:type="spellStart"/>
      <w:r w:rsidRPr="002E4B4C">
        <w:rPr>
          <w:rFonts w:ascii="Verdana" w:hAnsi="Verdana"/>
          <w:b/>
          <w:color w:val="000000"/>
          <w:sz w:val="20"/>
          <w:szCs w:val="20"/>
        </w:rPr>
        <w:t>CertiQuality</w:t>
      </w:r>
      <w:proofErr w:type="spellEnd"/>
      <w:r w:rsidRPr="002E4B4C">
        <w:rPr>
          <w:rFonts w:ascii="Verdana" w:hAnsi="Verdana"/>
          <w:color w:val="000000"/>
          <w:sz w:val="20"/>
          <w:szCs w:val="20"/>
        </w:rPr>
        <w:t xml:space="preserve"> (Italia) UNI EN 13432, UNI EN 14045 – Compostabile CIC</w:t>
      </w:r>
      <w:r w:rsidRPr="002E4B4C">
        <w:rPr>
          <w:rFonts w:ascii="Verdana" w:hAnsi="Verdana"/>
          <w:color w:val="000000"/>
          <w:sz w:val="20"/>
          <w:szCs w:val="20"/>
        </w:rPr>
        <w:br/>
        <w:t xml:space="preserve">Certifica l'idoneità alla </w:t>
      </w:r>
      <w:proofErr w:type="spellStart"/>
      <w:r w:rsidRPr="002E4B4C">
        <w:rPr>
          <w:rFonts w:ascii="Verdana" w:hAnsi="Verdana"/>
          <w:color w:val="000000"/>
          <w:sz w:val="20"/>
          <w:szCs w:val="20"/>
        </w:rPr>
        <w:t>Compostabilità</w:t>
      </w:r>
      <w:proofErr w:type="spellEnd"/>
      <w:r w:rsidRPr="002E4B4C">
        <w:rPr>
          <w:rFonts w:ascii="Verdana" w:hAnsi="Verdana"/>
          <w:color w:val="000000"/>
          <w:sz w:val="20"/>
          <w:szCs w:val="20"/>
        </w:rPr>
        <w:t xml:space="preserve"> con test su scala reale al Compostaggio Industriale</w:t>
      </w:r>
    </w:p>
    <w:p w:rsidR="00B205AC" w:rsidRPr="002E4B4C" w:rsidRDefault="00B205AC" w:rsidP="00B205AC">
      <w:pPr>
        <w:autoSpaceDE w:val="0"/>
        <w:autoSpaceDN w:val="0"/>
        <w:adjustRightInd w:val="0"/>
        <w:jc w:val="both"/>
        <w:rPr>
          <w:rFonts w:ascii="Verdana" w:hAnsi="Verdana"/>
          <w:color w:val="000000"/>
          <w:sz w:val="20"/>
          <w:szCs w:val="20"/>
        </w:rPr>
      </w:pPr>
    </w:p>
    <w:p w:rsidR="00B205AC" w:rsidRPr="002E4B4C" w:rsidRDefault="00B205AC" w:rsidP="00B205AC">
      <w:pPr>
        <w:autoSpaceDE w:val="0"/>
        <w:autoSpaceDN w:val="0"/>
        <w:adjustRightInd w:val="0"/>
        <w:jc w:val="both"/>
        <w:rPr>
          <w:rFonts w:ascii="Verdana" w:hAnsi="Verdana"/>
          <w:color w:val="000000"/>
          <w:sz w:val="20"/>
          <w:szCs w:val="20"/>
        </w:rPr>
      </w:pPr>
      <w:r w:rsidRPr="002E4B4C">
        <w:rPr>
          <w:rFonts w:ascii="Verdana" w:hAnsi="Verdana"/>
          <w:noProof/>
          <w:color w:val="000000"/>
          <w:sz w:val="20"/>
          <w:szCs w:val="20"/>
          <w:lang w:eastAsia="it-IT"/>
        </w:rPr>
        <w:drawing>
          <wp:inline distT="0" distB="0" distL="0" distR="0" wp14:anchorId="4D7F860C" wp14:editId="304650E7">
            <wp:extent cx="1255395" cy="1296670"/>
            <wp:effectExtent l="0" t="0" r="1905" b="0"/>
            <wp:docPr id="3" name="Immagine 3" descr="http://www.innovhub.it/image/image_gallery?uuid=67445ed9-e899-405e-88fd-f42a4fe3287d&amp;groupId=10157&amp;t=1368607456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nnovhub.it/image/image_gallery?uuid=67445ed9-e899-405e-88fd-f42a4fe3287d&amp;groupId=10157&amp;t=13686074569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5395" cy="1296670"/>
                    </a:xfrm>
                    <a:prstGeom prst="rect">
                      <a:avLst/>
                    </a:prstGeom>
                    <a:noFill/>
                    <a:ln>
                      <a:noFill/>
                    </a:ln>
                  </pic:spPr>
                </pic:pic>
              </a:graphicData>
            </a:graphic>
          </wp:inline>
        </w:drawing>
      </w:r>
    </w:p>
    <w:p w:rsidR="00B205AC" w:rsidRPr="002E4B4C" w:rsidRDefault="00B205AC" w:rsidP="00B205AC">
      <w:pPr>
        <w:autoSpaceDE w:val="0"/>
        <w:autoSpaceDN w:val="0"/>
        <w:adjustRightInd w:val="0"/>
        <w:jc w:val="both"/>
        <w:rPr>
          <w:rFonts w:ascii="Verdana" w:hAnsi="Verdana"/>
          <w:color w:val="000000"/>
          <w:sz w:val="20"/>
          <w:szCs w:val="20"/>
        </w:rPr>
      </w:pPr>
      <w:r w:rsidRPr="002E4B4C">
        <w:rPr>
          <w:rFonts w:ascii="Verdana" w:hAnsi="Verdana"/>
          <w:color w:val="000000"/>
          <w:sz w:val="20"/>
          <w:szCs w:val="20"/>
        </w:rPr>
        <w:t> </w:t>
      </w:r>
    </w:p>
    <w:p w:rsidR="00AB5E22" w:rsidRPr="002E4B4C" w:rsidRDefault="00AB5E22" w:rsidP="00AB5E22">
      <w:pPr>
        <w:autoSpaceDE w:val="0"/>
        <w:autoSpaceDN w:val="0"/>
        <w:adjustRightInd w:val="0"/>
        <w:jc w:val="both"/>
        <w:rPr>
          <w:rFonts w:ascii="Verdana" w:hAnsi="Verdana"/>
          <w:b/>
          <w:color w:val="000000"/>
          <w:sz w:val="20"/>
          <w:szCs w:val="20"/>
        </w:rPr>
      </w:pPr>
      <w:r w:rsidRPr="002E4B4C">
        <w:rPr>
          <w:rFonts w:ascii="Verdana" w:hAnsi="Verdana"/>
          <w:b/>
          <w:color w:val="000000"/>
          <w:sz w:val="20"/>
          <w:szCs w:val="20"/>
        </w:rPr>
        <w:t>Come riconoscere il sacchetto conforme alle norme?</w:t>
      </w:r>
    </w:p>
    <w:p w:rsidR="00AB5E22" w:rsidRPr="002E4B4C" w:rsidRDefault="00AB5E22" w:rsidP="00AB5E22">
      <w:pPr>
        <w:autoSpaceDE w:val="0"/>
        <w:autoSpaceDN w:val="0"/>
        <w:adjustRightInd w:val="0"/>
        <w:jc w:val="both"/>
        <w:rPr>
          <w:rFonts w:ascii="Verdana" w:hAnsi="Verdana"/>
          <w:color w:val="000000"/>
          <w:sz w:val="20"/>
          <w:szCs w:val="20"/>
        </w:rPr>
      </w:pPr>
      <w:r w:rsidRPr="002E4B4C">
        <w:rPr>
          <w:rFonts w:ascii="Verdana" w:hAnsi="Verdana"/>
          <w:color w:val="000000"/>
          <w:sz w:val="20"/>
          <w:szCs w:val="20"/>
        </w:rPr>
        <w:t>È opportuno che chi commercializza tali sacchetti si accerti della conformità degli stessi alle norme di legge già al momento dell’acquisto da parte del fornitore.</w:t>
      </w:r>
    </w:p>
    <w:p w:rsidR="00AB5E22" w:rsidRPr="002E4B4C" w:rsidRDefault="00AB5E22" w:rsidP="00AB5E22">
      <w:pPr>
        <w:autoSpaceDE w:val="0"/>
        <w:autoSpaceDN w:val="0"/>
        <w:adjustRightInd w:val="0"/>
        <w:jc w:val="both"/>
        <w:rPr>
          <w:rFonts w:ascii="Verdana" w:hAnsi="Verdana"/>
          <w:color w:val="000000"/>
          <w:sz w:val="20"/>
          <w:szCs w:val="20"/>
        </w:rPr>
      </w:pPr>
      <w:r w:rsidRPr="002E4B4C">
        <w:rPr>
          <w:rFonts w:ascii="Verdana" w:hAnsi="Verdana"/>
          <w:color w:val="000000"/>
          <w:sz w:val="20"/>
          <w:szCs w:val="20"/>
        </w:rPr>
        <w:t>Pertanto, raccomandiamo alle aziende che dovessero avere necessità di ordinare sacchetti, di fare molta attenzione e di chiedere ai propri fornitori l’assicurazione scritta che i prodotti ordinati siano conformi a quanto disposto dalla nuova normativa.</w:t>
      </w:r>
    </w:p>
    <w:p w:rsidR="00AB5E22" w:rsidRPr="002E4B4C" w:rsidRDefault="00AB5E22" w:rsidP="00AB5E22">
      <w:pPr>
        <w:autoSpaceDE w:val="0"/>
        <w:autoSpaceDN w:val="0"/>
        <w:adjustRightInd w:val="0"/>
        <w:jc w:val="both"/>
        <w:rPr>
          <w:rFonts w:ascii="Verdana" w:hAnsi="Verdana"/>
          <w:color w:val="000000"/>
          <w:sz w:val="20"/>
          <w:szCs w:val="20"/>
        </w:rPr>
      </w:pPr>
    </w:p>
    <w:p w:rsidR="00C313E1" w:rsidRPr="002E4B4C" w:rsidRDefault="00C313E1" w:rsidP="00C313E1">
      <w:pPr>
        <w:autoSpaceDE w:val="0"/>
        <w:autoSpaceDN w:val="0"/>
        <w:adjustRightInd w:val="0"/>
        <w:jc w:val="both"/>
        <w:rPr>
          <w:rFonts w:ascii="Verdana" w:hAnsi="Verdana"/>
          <w:color w:val="000000"/>
          <w:sz w:val="20"/>
          <w:szCs w:val="20"/>
        </w:rPr>
      </w:pPr>
      <w:r w:rsidRPr="002E4B4C">
        <w:rPr>
          <w:rFonts w:ascii="Verdana" w:hAnsi="Verdana"/>
          <w:color w:val="000000"/>
          <w:sz w:val="20"/>
          <w:szCs w:val="20"/>
        </w:rPr>
        <w:t>Ricapitolando, la legge prevede che possano essere commercializzati solo:</w:t>
      </w:r>
    </w:p>
    <w:p w:rsidR="00C313E1" w:rsidRPr="002E4B4C" w:rsidRDefault="00C313E1" w:rsidP="00C313E1">
      <w:pPr>
        <w:pStyle w:val="Paragrafoelenco"/>
        <w:numPr>
          <w:ilvl w:val="0"/>
          <w:numId w:val="12"/>
        </w:numPr>
        <w:autoSpaceDE w:val="0"/>
        <w:autoSpaceDN w:val="0"/>
        <w:adjustRightInd w:val="0"/>
        <w:jc w:val="both"/>
        <w:rPr>
          <w:rFonts w:ascii="Verdana" w:hAnsi="Verdana"/>
          <w:color w:val="000000"/>
          <w:sz w:val="20"/>
          <w:szCs w:val="20"/>
        </w:rPr>
      </w:pPr>
      <w:r w:rsidRPr="002E4B4C">
        <w:rPr>
          <w:rFonts w:ascii="Verdana" w:hAnsi="Verdana"/>
          <w:color w:val="000000"/>
          <w:sz w:val="20"/>
          <w:szCs w:val="20"/>
        </w:rPr>
        <w:t>sacchetti monouso biodegradabili e compostabili (i cosiddetti sacchetti “molli” conformi allo standard UNI EN 13432:2002);</w:t>
      </w:r>
    </w:p>
    <w:p w:rsidR="00C313E1" w:rsidRPr="002E4B4C" w:rsidRDefault="00C313E1" w:rsidP="00C313E1">
      <w:pPr>
        <w:pStyle w:val="Paragrafoelenco"/>
        <w:numPr>
          <w:ilvl w:val="0"/>
          <w:numId w:val="12"/>
        </w:numPr>
        <w:autoSpaceDE w:val="0"/>
        <w:autoSpaceDN w:val="0"/>
        <w:adjustRightInd w:val="0"/>
        <w:jc w:val="both"/>
        <w:rPr>
          <w:rFonts w:ascii="Verdana" w:hAnsi="Verdana"/>
          <w:color w:val="000000"/>
          <w:sz w:val="20"/>
          <w:szCs w:val="20"/>
        </w:rPr>
      </w:pPr>
      <w:r w:rsidRPr="002E4B4C">
        <w:rPr>
          <w:rFonts w:ascii="Verdana" w:hAnsi="Verdana"/>
          <w:color w:val="000000"/>
          <w:sz w:val="20"/>
          <w:szCs w:val="20"/>
        </w:rPr>
        <w:t>sacchetti riutilizzabili (tra cui le classiche sporte in iuta, tessuto…).</w:t>
      </w:r>
    </w:p>
    <w:p w:rsidR="00C313E1" w:rsidRPr="002E4B4C" w:rsidRDefault="00C313E1" w:rsidP="00C313E1">
      <w:pPr>
        <w:autoSpaceDE w:val="0"/>
        <w:autoSpaceDN w:val="0"/>
        <w:adjustRightInd w:val="0"/>
        <w:jc w:val="both"/>
        <w:rPr>
          <w:rFonts w:ascii="Verdana" w:hAnsi="Verdana"/>
          <w:color w:val="000000"/>
          <w:sz w:val="20"/>
          <w:szCs w:val="20"/>
        </w:rPr>
      </w:pPr>
    </w:p>
    <w:p w:rsidR="00C313E1" w:rsidRPr="002E4B4C" w:rsidRDefault="00C313E1" w:rsidP="00C313E1">
      <w:pPr>
        <w:autoSpaceDE w:val="0"/>
        <w:autoSpaceDN w:val="0"/>
        <w:adjustRightInd w:val="0"/>
        <w:jc w:val="both"/>
        <w:rPr>
          <w:rFonts w:ascii="Verdana" w:hAnsi="Verdana"/>
          <w:color w:val="000000"/>
          <w:sz w:val="20"/>
          <w:szCs w:val="20"/>
        </w:rPr>
      </w:pPr>
      <w:r w:rsidRPr="002E4B4C">
        <w:rPr>
          <w:rFonts w:ascii="Verdana" w:hAnsi="Verdana"/>
          <w:color w:val="000000"/>
          <w:sz w:val="20"/>
          <w:szCs w:val="20"/>
        </w:rPr>
        <w:t xml:space="preserve">Al contrario, non possono più essere commercializzati i sacchetti monouso </w:t>
      </w:r>
      <w:proofErr w:type="spellStart"/>
      <w:r w:rsidRPr="002E4B4C">
        <w:rPr>
          <w:rFonts w:ascii="Verdana" w:hAnsi="Verdana"/>
          <w:color w:val="000000"/>
          <w:sz w:val="20"/>
          <w:szCs w:val="20"/>
        </w:rPr>
        <w:t>oxodegradabili</w:t>
      </w:r>
      <w:proofErr w:type="spellEnd"/>
      <w:r w:rsidRPr="002E4B4C">
        <w:rPr>
          <w:rFonts w:ascii="Verdana" w:hAnsi="Verdana"/>
          <w:color w:val="000000"/>
          <w:sz w:val="20"/>
          <w:szCs w:val="20"/>
        </w:rPr>
        <w:t xml:space="preserve"> in polietilene, in quanto non compostabili secondo i requisiti tecnici dello standard UNI EN 13432:2002. Tra tali sacchetti che non possono essere commercializzati si segnalo in particolare quelli con le seguenti diciture: “biodegradabili al 100%” (o anche solo “</w:t>
      </w:r>
      <w:proofErr w:type="spellStart"/>
      <w:r w:rsidRPr="002E4B4C">
        <w:rPr>
          <w:rFonts w:ascii="Verdana" w:hAnsi="Verdana"/>
          <w:color w:val="000000"/>
          <w:sz w:val="20"/>
          <w:szCs w:val="20"/>
        </w:rPr>
        <w:t>Bio</w:t>
      </w:r>
      <w:proofErr w:type="spellEnd"/>
      <w:r w:rsidRPr="002E4B4C">
        <w:rPr>
          <w:rFonts w:ascii="Verdana" w:hAnsi="Verdana"/>
          <w:color w:val="000000"/>
          <w:sz w:val="20"/>
          <w:szCs w:val="20"/>
        </w:rPr>
        <w:t xml:space="preserve">”, “Biodegradabile”); “ECM Biodegradabile” o “Sacchetto con additivo ECM”; sacchetto con additivo “EPI”; sacchetto “D2W” o sacchetto con additivo “D2W”. </w:t>
      </w:r>
    </w:p>
    <w:p w:rsidR="00C313E1" w:rsidRPr="002E4B4C" w:rsidRDefault="00C313E1" w:rsidP="00C313E1">
      <w:pPr>
        <w:autoSpaceDE w:val="0"/>
        <w:autoSpaceDN w:val="0"/>
        <w:adjustRightInd w:val="0"/>
        <w:jc w:val="both"/>
        <w:rPr>
          <w:rFonts w:ascii="Verdana" w:hAnsi="Verdana"/>
          <w:color w:val="000000"/>
          <w:sz w:val="20"/>
          <w:szCs w:val="20"/>
        </w:rPr>
      </w:pPr>
      <w:r w:rsidRPr="002E4B4C">
        <w:rPr>
          <w:rFonts w:ascii="Verdana" w:hAnsi="Verdana"/>
          <w:color w:val="000000"/>
          <w:sz w:val="20"/>
          <w:szCs w:val="20"/>
        </w:rPr>
        <w:t xml:space="preserve">Queste buste in plastica (polietilene) sono additivate con sostanze che esposte alla luce dovrebbero favorire la frammentazione della plastica. Su questi sacchetti a volte si trovano diciture che parlano di eco-compatibilità, ma non di </w:t>
      </w:r>
      <w:proofErr w:type="spellStart"/>
      <w:r w:rsidRPr="002E4B4C">
        <w:rPr>
          <w:rFonts w:ascii="Verdana" w:hAnsi="Verdana"/>
          <w:color w:val="000000"/>
          <w:sz w:val="20"/>
          <w:szCs w:val="20"/>
        </w:rPr>
        <w:t>compostabilità</w:t>
      </w:r>
      <w:proofErr w:type="spellEnd"/>
      <w:r w:rsidRPr="002E4B4C">
        <w:rPr>
          <w:rFonts w:ascii="Verdana" w:hAnsi="Verdana"/>
          <w:color w:val="000000"/>
          <w:sz w:val="20"/>
          <w:szCs w:val="20"/>
        </w:rPr>
        <w:t>. Nonostante i richiami all’ecologia, questi sacchetti non sono conformi alla normativa in quanto appunto non compostabili secondo i requisiti dello standard UNI EN 13432:2002.Spesso tali sacchetti in plastica additivata  fanno poi riferimento a norme Uni En diverse dalla 13432 e non contemplate dalla predetta normativa.</w:t>
      </w:r>
    </w:p>
    <w:p w:rsidR="00AB5E22" w:rsidRPr="002E4B4C" w:rsidRDefault="00AB5E22" w:rsidP="00AB5E22">
      <w:pPr>
        <w:autoSpaceDE w:val="0"/>
        <w:autoSpaceDN w:val="0"/>
        <w:adjustRightInd w:val="0"/>
        <w:jc w:val="both"/>
        <w:rPr>
          <w:rFonts w:ascii="Verdana" w:hAnsi="Verdana"/>
          <w:color w:val="000000"/>
          <w:sz w:val="20"/>
          <w:szCs w:val="20"/>
        </w:rPr>
      </w:pPr>
    </w:p>
    <w:p w:rsidR="00AB5E22" w:rsidRPr="002E4B4C" w:rsidRDefault="00AB5E22" w:rsidP="00AB5E22">
      <w:pPr>
        <w:autoSpaceDE w:val="0"/>
        <w:autoSpaceDN w:val="0"/>
        <w:adjustRightInd w:val="0"/>
        <w:jc w:val="both"/>
        <w:rPr>
          <w:rFonts w:ascii="Verdana" w:hAnsi="Verdana"/>
          <w:color w:val="000000"/>
          <w:sz w:val="20"/>
          <w:szCs w:val="20"/>
        </w:rPr>
      </w:pPr>
    </w:p>
    <w:p w:rsidR="00AB5E22" w:rsidRPr="002E4B4C" w:rsidRDefault="00AB5E22" w:rsidP="00AB5E22">
      <w:pPr>
        <w:autoSpaceDE w:val="0"/>
        <w:autoSpaceDN w:val="0"/>
        <w:adjustRightInd w:val="0"/>
        <w:jc w:val="center"/>
        <w:rPr>
          <w:rFonts w:ascii="Verdana" w:hAnsi="Verdana"/>
          <w:color w:val="000000"/>
          <w:sz w:val="20"/>
          <w:szCs w:val="20"/>
        </w:rPr>
      </w:pPr>
      <w:r w:rsidRPr="002E4B4C">
        <w:rPr>
          <w:rFonts w:ascii="Verdana" w:hAnsi="Verdana"/>
          <w:noProof/>
          <w:color w:val="000000"/>
          <w:sz w:val="20"/>
          <w:szCs w:val="20"/>
          <w:lang w:eastAsia="it-IT"/>
        </w:rPr>
        <w:drawing>
          <wp:inline distT="0" distB="0" distL="0" distR="0" wp14:anchorId="149A7FE4" wp14:editId="06291CBB">
            <wp:extent cx="4203512" cy="3152852"/>
            <wp:effectExtent l="0" t="0" r="698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2.JPG"/>
                    <pic:cNvPicPr/>
                  </pic:nvPicPr>
                  <pic:blipFill>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206779" cy="3155303"/>
                    </a:xfrm>
                    <a:prstGeom prst="rect">
                      <a:avLst/>
                    </a:prstGeom>
                  </pic:spPr>
                </pic:pic>
              </a:graphicData>
            </a:graphic>
          </wp:inline>
        </w:drawing>
      </w:r>
    </w:p>
    <w:p w:rsidR="00AB5E22" w:rsidRPr="002E4B4C" w:rsidRDefault="00AB5E22" w:rsidP="00AB5E22">
      <w:pPr>
        <w:autoSpaceDE w:val="0"/>
        <w:autoSpaceDN w:val="0"/>
        <w:adjustRightInd w:val="0"/>
        <w:jc w:val="both"/>
        <w:rPr>
          <w:rFonts w:ascii="Verdana" w:hAnsi="Verdana"/>
          <w:color w:val="000000"/>
          <w:sz w:val="20"/>
          <w:szCs w:val="20"/>
        </w:rPr>
      </w:pPr>
    </w:p>
    <w:p w:rsidR="00AB5E22" w:rsidRPr="002E4B4C" w:rsidRDefault="00AB5E22" w:rsidP="00AB5E22">
      <w:pPr>
        <w:autoSpaceDE w:val="0"/>
        <w:autoSpaceDN w:val="0"/>
        <w:adjustRightInd w:val="0"/>
        <w:jc w:val="both"/>
        <w:rPr>
          <w:rFonts w:ascii="Verdana" w:hAnsi="Verdana"/>
          <w:b/>
          <w:color w:val="000000"/>
          <w:sz w:val="20"/>
          <w:szCs w:val="20"/>
        </w:rPr>
      </w:pPr>
      <w:r w:rsidRPr="002E4B4C">
        <w:rPr>
          <w:rFonts w:ascii="Verdana" w:hAnsi="Verdana"/>
          <w:b/>
          <w:color w:val="000000"/>
          <w:sz w:val="20"/>
          <w:szCs w:val="20"/>
        </w:rPr>
        <w:t xml:space="preserve">Biodegradabilità e </w:t>
      </w:r>
      <w:proofErr w:type="spellStart"/>
      <w:r w:rsidRPr="002E4B4C">
        <w:rPr>
          <w:rFonts w:ascii="Verdana" w:hAnsi="Verdana"/>
          <w:b/>
          <w:color w:val="000000"/>
          <w:sz w:val="20"/>
          <w:szCs w:val="20"/>
        </w:rPr>
        <w:t>compostabilità</w:t>
      </w:r>
      <w:proofErr w:type="spellEnd"/>
    </w:p>
    <w:p w:rsidR="00C313E1" w:rsidRPr="002E4B4C" w:rsidRDefault="00C313E1" w:rsidP="00C313E1">
      <w:pPr>
        <w:jc w:val="both"/>
        <w:rPr>
          <w:rFonts w:ascii="Verdana" w:hAnsi="Verdana"/>
          <w:sz w:val="20"/>
          <w:szCs w:val="20"/>
        </w:rPr>
      </w:pPr>
      <w:r w:rsidRPr="002E4B4C">
        <w:rPr>
          <w:rFonts w:ascii="Verdana" w:hAnsi="Verdana"/>
          <w:sz w:val="20"/>
          <w:szCs w:val="20"/>
        </w:rPr>
        <w:t xml:space="preserve">Riteniamo opportuno a tal riguardo richiamare e fare chiarezza sui concetti di biodegradabilità e </w:t>
      </w:r>
      <w:proofErr w:type="spellStart"/>
      <w:r w:rsidRPr="002E4B4C">
        <w:rPr>
          <w:rFonts w:ascii="Verdana" w:hAnsi="Verdana"/>
          <w:sz w:val="20"/>
          <w:szCs w:val="20"/>
        </w:rPr>
        <w:t>compostabilità</w:t>
      </w:r>
      <w:proofErr w:type="spellEnd"/>
      <w:r w:rsidRPr="002E4B4C">
        <w:rPr>
          <w:rFonts w:ascii="Verdana" w:hAnsi="Verdana"/>
          <w:sz w:val="20"/>
          <w:szCs w:val="20"/>
        </w:rPr>
        <w:t>.</w:t>
      </w:r>
    </w:p>
    <w:p w:rsidR="00C313E1" w:rsidRPr="002E4B4C" w:rsidRDefault="00C313E1" w:rsidP="00C313E1">
      <w:pPr>
        <w:jc w:val="both"/>
        <w:rPr>
          <w:rFonts w:ascii="Verdana" w:hAnsi="Verdana"/>
          <w:sz w:val="20"/>
          <w:szCs w:val="20"/>
        </w:rPr>
      </w:pPr>
      <w:r w:rsidRPr="002E4B4C">
        <w:rPr>
          <w:rFonts w:ascii="Verdana" w:hAnsi="Verdana"/>
          <w:sz w:val="20"/>
          <w:szCs w:val="20"/>
        </w:rPr>
        <w:t>La biodegradabilità è una proprietà delle sostanze organiche e di alcuni composti sintetici, di essere decomposti in sostanze più semplici dalla natura, o meglio, dai batteri saprofiti, </w:t>
      </w:r>
      <w:r w:rsidRPr="002E4B4C">
        <w:rPr>
          <w:rFonts w:ascii="Verdana" w:hAnsi="Verdana"/>
          <w:sz w:val="20"/>
          <w:szCs w:val="20"/>
          <w:u w:val="single"/>
        </w:rPr>
        <w:t>in tempi anche molto lunghi</w:t>
      </w:r>
      <w:r w:rsidRPr="002E4B4C">
        <w:rPr>
          <w:rFonts w:ascii="Verdana" w:hAnsi="Verdana"/>
          <w:sz w:val="20"/>
          <w:szCs w:val="20"/>
        </w:rPr>
        <w:t xml:space="preserve"> che variano a seconda di taluni fattori (temperatura, umidità etc.). </w:t>
      </w:r>
    </w:p>
    <w:p w:rsidR="00C313E1" w:rsidRPr="002E4B4C" w:rsidRDefault="00C313E1" w:rsidP="00C313E1">
      <w:pPr>
        <w:jc w:val="both"/>
        <w:rPr>
          <w:rFonts w:ascii="Verdana" w:hAnsi="Verdana"/>
          <w:sz w:val="20"/>
          <w:szCs w:val="20"/>
        </w:rPr>
      </w:pPr>
      <w:r w:rsidRPr="002E4B4C">
        <w:rPr>
          <w:rFonts w:ascii="Verdana" w:hAnsi="Verdana"/>
          <w:sz w:val="20"/>
          <w:szCs w:val="20"/>
        </w:rPr>
        <w:t xml:space="preserve">La </w:t>
      </w:r>
      <w:proofErr w:type="spellStart"/>
      <w:r w:rsidRPr="002E4B4C">
        <w:rPr>
          <w:rFonts w:ascii="Verdana" w:hAnsi="Verdana"/>
          <w:sz w:val="20"/>
          <w:szCs w:val="20"/>
        </w:rPr>
        <w:t>compostabilità</w:t>
      </w:r>
      <w:proofErr w:type="spellEnd"/>
      <w:r w:rsidRPr="002E4B4C">
        <w:rPr>
          <w:rFonts w:ascii="Verdana" w:hAnsi="Verdana"/>
          <w:sz w:val="20"/>
          <w:szCs w:val="20"/>
        </w:rPr>
        <w:t xml:space="preserve"> è, invece, quella particolare capacità di un materiale organico di biodegradarsi nei tempi e nelle condizioni controllate di compostaggio, </w:t>
      </w:r>
      <w:r w:rsidRPr="002E4B4C">
        <w:rPr>
          <w:rFonts w:ascii="Verdana" w:hAnsi="Verdana"/>
          <w:sz w:val="20"/>
          <w:szCs w:val="20"/>
          <w:u w:val="single"/>
        </w:rPr>
        <w:t>trasformandosi velocemente (6 mesi) in compost</w:t>
      </w:r>
      <w:r w:rsidRPr="002E4B4C">
        <w:rPr>
          <w:rFonts w:ascii="Verdana" w:hAnsi="Verdana"/>
          <w:sz w:val="20"/>
          <w:szCs w:val="20"/>
        </w:rPr>
        <w:t xml:space="preserve"> (cioè un terriccio usato come fertilizzante) mediante uno specifico processo di biodegradazione aerobica (ossia che avviene in presenza di ossigeno), chiamato appunto processo di compostaggio. Tale processo sfrutta la biodegradabilità dei materiali organici di partenza per trasformarli in un prodotto finale che deve rispettare alcuni requisiti definiti dalla legge per poter essere utilizzato come fertilizzante.</w:t>
      </w:r>
    </w:p>
    <w:p w:rsidR="00C313E1" w:rsidRPr="002E4B4C" w:rsidRDefault="00C313E1" w:rsidP="00C313E1">
      <w:pPr>
        <w:jc w:val="both"/>
        <w:rPr>
          <w:rFonts w:ascii="Verdana" w:hAnsi="Verdana"/>
          <w:sz w:val="20"/>
          <w:szCs w:val="20"/>
        </w:rPr>
      </w:pPr>
      <w:r w:rsidRPr="002E4B4C">
        <w:rPr>
          <w:rFonts w:ascii="Verdana" w:hAnsi="Verdana"/>
          <w:sz w:val="20"/>
          <w:szCs w:val="20"/>
        </w:rPr>
        <w:t xml:space="preserve">Biodegradabile non necessariamente vuol dire compostabile. </w:t>
      </w:r>
    </w:p>
    <w:p w:rsidR="00C313E1" w:rsidRPr="002E4B4C" w:rsidRDefault="00C313E1" w:rsidP="00C313E1">
      <w:pPr>
        <w:jc w:val="both"/>
        <w:rPr>
          <w:rFonts w:ascii="Verdana" w:hAnsi="Verdana"/>
          <w:sz w:val="20"/>
          <w:szCs w:val="20"/>
        </w:rPr>
      </w:pPr>
      <w:r w:rsidRPr="002E4B4C">
        <w:rPr>
          <w:rFonts w:ascii="Verdana" w:hAnsi="Verdana"/>
          <w:sz w:val="20"/>
          <w:szCs w:val="20"/>
        </w:rPr>
        <w:t xml:space="preserve">Tuttavia, la biodegradazione in condizioni di compostaggio (ossia la </w:t>
      </w:r>
      <w:proofErr w:type="spellStart"/>
      <w:r w:rsidRPr="002E4B4C">
        <w:rPr>
          <w:rFonts w:ascii="Verdana" w:hAnsi="Verdana"/>
          <w:sz w:val="20"/>
          <w:szCs w:val="20"/>
        </w:rPr>
        <w:t>compostabilità</w:t>
      </w:r>
      <w:proofErr w:type="spellEnd"/>
      <w:r w:rsidRPr="002E4B4C">
        <w:rPr>
          <w:rFonts w:ascii="Verdana" w:hAnsi="Verdana"/>
          <w:sz w:val="20"/>
          <w:szCs w:val="20"/>
        </w:rPr>
        <w:t>) è l’unica forma di biodegradazione rilevante per la normativa vigente in materia di sacchetti per l’asporto merci.</w:t>
      </w:r>
    </w:p>
    <w:p w:rsidR="00C313E1" w:rsidRPr="002E4B4C" w:rsidRDefault="00C313E1" w:rsidP="00C313E1">
      <w:pPr>
        <w:jc w:val="both"/>
        <w:rPr>
          <w:rFonts w:ascii="Verdana" w:hAnsi="Verdana"/>
          <w:sz w:val="20"/>
          <w:szCs w:val="20"/>
        </w:rPr>
      </w:pPr>
      <w:r w:rsidRPr="002E4B4C">
        <w:rPr>
          <w:rFonts w:ascii="Verdana" w:hAnsi="Verdana"/>
          <w:sz w:val="20"/>
          <w:szCs w:val="20"/>
        </w:rPr>
        <w:t xml:space="preserve">I sacchetti in plastica additivati con ECM o con altri additivi (es., d2W o EPI), su cui sono riportate affermazioni di biodegradabilità, non sono in grado di biodegradarsi nei tempi e nelle condizioni controllate di compostaggio. Invero, tali sacchetti, contrariamente a quanto richiesto dalla normativa vigente (standard UNI EN 13432:2002), non si disintegrano in frammenti inferiori ai 2 mm in un periodo massimo di 3 mesi, né sono in grado di biodegradarsi per almeno il 90% in 6 mesi.  </w:t>
      </w:r>
    </w:p>
    <w:p w:rsidR="00C313E1" w:rsidRPr="002E4B4C" w:rsidRDefault="00C313E1" w:rsidP="00C313E1">
      <w:pPr>
        <w:jc w:val="both"/>
        <w:rPr>
          <w:rFonts w:ascii="Verdana" w:hAnsi="Verdana"/>
          <w:sz w:val="20"/>
          <w:szCs w:val="20"/>
        </w:rPr>
      </w:pPr>
      <w:r w:rsidRPr="002E4B4C">
        <w:rPr>
          <w:rFonts w:ascii="Verdana" w:hAnsi="Verdana"/>
          <w:sz w:val="20"/>
          <w:szCs w:val="20"/>
        </w:rPr>
        <w:t>Dunque, tali sacchetti non sono conformi alla normativa vigente, anche se talvolta vengono persino spacciati per compostabili quando non lo sono, ed addirittura sono riportate, in questi sacchetti, scritte che invitano ad utilizzarli per la raccolta dei rifiuti organici.</w:t>
      </w:r>
    </w:p>
    <w:p w:rsidR="00C313E1" w:rsidRPr="002E4B4C" w:rsidRDefault="00C313E1" w:rsidP="00C313E1">
      <w:pPr>
        <w:jc w:val="both"/>
        <w:rPr>
          <w:rFonts w:ascii="Verdana" w:hAnsi="Verdana"/>
          <w:sz w:val="20"/>
          <w:szCs w:val="20"/>
        </w:rPr>
      </w:pPr>
      <w:r w:rsidRPr="002E4B4C">
        <w:rPr>
          <w:rFonts w:ascii="Verdana" w:hAnsi="Verdana"/>
          <w:sz w:val="20"/>
          <w:szCs w:val="20"/>
        </w:rPr>
        <w:t xml:space="preserve">Si ricorda sul punto che il vero sacchetto compostabile, a differenza dei predetti sacchetti additivati, </w:t>
      </w:r>
      <w:proofErr w:type="spellStart"/>
      <w:r w:rsidRPr="002E4B4C">
        <w:rPr>
          <w:rFonts w:ascii="Verdana" w:hAnsi="Verdana"/>
          <w:sz w:val="20"/>
          <w:szCs w:val="20"/>
        </w:rPr>
        <w:t>permettedi</w:t>
      </w:r>
      <w:proofErr w:type="spellEnd"/>
      <w:r w:rsidRPr="002E4B4C">
        <w:rPr>
          <w:rFonts w:ascii="Verdana" w:hAnsi="Verdana"/>
          <w:sz w:val="20"/>
          <w:szCs w:val="20"/>
        </w:rPr>
        <w:t xml:space="preserve"> creare un rifiuto umido omogeneo dove sia contenitore che contenuto godono delle stesse proprietà di biodegradazione in condizioni di compostaggio. Questo quindi rende più efficace la raccolta differenziata dell’umido perché agevola la diminuzione degli scarti e aumenta i quantitativi di rifiuto organico intercettato, garantendo sempre i livelli di qualità richiesti per il compost finale.</w:t>
      </w:r>
    </w:p>
    <w:p w:rsidR="00C313E1" w:rsidRPr="002E4B4C" w:rsidRDefault="00C313E1" w:rsidP="00C313E1">
      <w:pPr>
        <w:jc w:val="both"/>
        <w:rPr>
          <w:rFonts w:ascii="Verdana" w:hAnsi="Verdana"/>
          <w:sz w:val="20"/>
          <w:szCs w:val="20"/>
        </w:rPr>
      </w:pPr>
    </w:p>
    <w:p w:rsidR="00AB5E22" w:rsidRPr="002E4B4C" w:rsidRDefault="00AB5E22" w:rsidP="00AB5E22">
      <w:pPr>
        <w:autoSpaceDE w:val="0"/>
        <w:autoSpaceDN w:val="0"/>
        <w:adjustRightInd w:val="0"/>
        <w:jc w:val="both"/>
        <w:rPr>
          <w:rFonts w:ascii="Verdana" w:hAnsi="Verdana"/>
          <w:color w:val="000000"/>
          <w:sz w:val="20"/>
          <w:szCs w:val="20"/>
        </w:rPr>
      </w:pPr>
    </w:p>
    <w:p w:rsidR="00AB5E22" w:rsidRPr="002E4B4C" w:rsidRDefault="00AB5E22" w:rsidP="00AB5E22">
      <w:pPr>
        <w:autoSpaceDE w:val="0"/>
        <w:autoSpaceDN w:val="0"/>
        <w:adjustRightInd w:val="0"/>
        <w:jc w:val="both"/>
        <w:rPr>
          <w:rFonts w:ascii="Verdana" w:hAnsi="Verdana"/>
          <w:b/>
          <w:color w:val="000000"/>
          <w:sz w:val="20"/>
          <w:szCs w:val="20"/>
        </w:rPr>
      </w:pPr>
    </w:p>
    <w:p w:rsidR="00AB5E22" w:rsidRPr="002E4B4C" w:rsidRDefault="00AB5E22" w:rsidP="00AB5E22">
      <w:pPr>
        <w:autoSpaceDE w:val="0"/>
        <w:autoSpaceDN w:val="0"/>
        <w:adjustRightInd w:val="0"/>
        <w:jc w:val="both"/>
        <w:rPr>
          <w:rFonts w:ascii="Verdana" w:hAnsi="Verdana"/>
          <w:color w:val="000000"/>
          <w:sz w:val="20"/>
          <w:szCs w:val="20"/>
        </w:rPr>
      </w:pPr>
      <w:r w:rsidRPr="002E4B4C">
        <w:rPr>
          <w:rFonts w:ascii="Verdana" w:hAnsi="Verdana"/>
          <w:color w:val="000000"/>
          <w:sz w:val="20"/>
          <w:szCs w:val="20"/>
        </w:rPr>
        <w:lastRenderedPageBreak/>
        <w:t>Come riconoscere, quindi, i sacchetti commercializzabili?</w:t>
      </w:r>
    </w:p>
    <w:p w:rsidR="00AB5E22" w:rsidRPr="002E4B4C" w:rsidRDefault="00AB5E22" w:rsidP="00AB5E22">
      <w:pPr>
        <w:autoSpaceDE w:val="0"/>
        <w:autoSpaceDN w:val="0"/>
        <w:adjustRightInd w:val="0"/>
        <w:jc w:val="both"/>
        <w:rPr>
          <w:rFonts w:ascii="Verdana" w:hAnsi="Verdana"/>
          <w:b/>
          <w:color w:val="000000"/>
          <w:sz w:val="20"/>
          <w:szCs w:val="20"/>
        </w:rPr>
      </w:pPr>
    </w:p>
    <w:p w:rsidR="00C313E1" w:rsidRPr="002E4B4C" w:rsidRDefault="00C313E1" w:rsidP="00C313E1">
      <w:pPr>
        <w:pStyle w:val="Paragrafoelenco"/>
        <w:numPr>
          <w:ilvl w:val="0"/>
          <w:numId w:val="13"/>
        </w:numPr>
        <w:jc w:val="both"/>
        <w:rPr>
          <w:rFonts w:ascii="Verdana" w:hAnsi="Verdana"/>
          <w:i/>
          <w:iCs/>
          <w:color w:val="000000"/>
          <w:sz w:val="20"/>
          <w:szCs w:val="20"/>
        </w:rPr>
      </w:pPr>
      <w:r w:rsidRPr="002E4B4C">
        <w:rPr>
          <w:rFonts w:ascii="Verdana" w:hAnsi="Verdana"/>
          <w:color w:val="000000"/>
          <w:sz w:val="20"/>
          <w:szCs w:val="20"/>
        </w:rPr>
        <w:t xml:space="preserve">Bisogna far riferimento alla dicitura di conformità alla norma UNI EN 13432:2002 e cercare sul sacchetto la frase </w:t>
      </w:r>
      <w:r w:rsidRPr="002E4B4C">
        <w:rPr>
          <w:rFonts w:ascii="Verdana" w:hAnsi="Verdana"/>
          <w:i/>
          <w:iCs/>
          <w:color w:val="000000"/>
          <w:sz w:val="20"/>
          <w:szCs w:val="20"/>
        </w:rPr>
        <w:t>“Sacco biodegradabile e compostabile conforme alla norma UNI EN 13432:2002. Sacco utilizzabile per la raccolta dei rifiuti organici  ”</w:t>
      </w:r>
      <w:r w:rsidRPr="002E4B4C">
        <w:rPr>
          <w:rFonts w:ascii="Verdana" w:hAnsi="Verdana"/>
          <w:color w:val="000000"/>
          <w:sz w:val="20"/>
          <w:szCs w:val="20"/>
        </w:rPr>
        <w:t xml:space="preserve"> che di solito viene riportata  lateralmente o nella zona frontale. </w:t>
      </w:r>
    </w:p>
    <w:p w:rsidR="00C313E1" w:rsidRPr="002E4B4C" w:rsidRDefault="00C313E1" w:rsidP="00C313E1">
      <w:pPr>
        <w:pStyle w:val="Paragrafoelenco"/>
        <w:numPr>
          <w:ilvl w:val="0"/>
          <w:numId w:val="13"/>
        </w:numPr>
        <w:autoSpaceDE w:val="0"/>
        <w:autoSpaceDN w:val="0"/>
        <w:adjustRightInd w:val="0"/>
        <w:jc w:val="both"/>
        <w:rPr>
          <w:rFonts w:ascii="Verdana" w:hAnsi="Verdana"/>
          <w:color w:val="000000"/>
          <w:sz w:val="20"/>
          <w:szCs w:val="20"/>
        </w:rPr>
      </w:pPr>
      <w:r w:rsidRPr="002E4B4C">
        <w:rPr>
          <w:rFonts w:ascii="Verdana" w:hAnsi="Verdana"/>
          <w:color w:val="000000"/>
          <w:sz w:val="20"/>
          <w:szCs w:val="20"/>
        </w:rPr>
        <w:t xml:space="preserve">Una seconda possibilità è quella di cercare sul sacchetto i marchi che attestano la certificazione della biodegradabilità e della </w:t>
      </w:r>
      <w:proofErr w:type="spellStart"/>
      <w:r w:rsidRPr="002E4B4C">
        <w:rPr>
          <w:rFonts w:ascii="Verdana" w:hAnsi="Verdana"/>
          <w:color w:val="000000"/>
          <w:sz w:val="20"/>
          <w:szCs w:val="20"/>
        </w:rPr>
        <w:t>compostabilità</w:t>
      </w:r>
      <w:proofErr w:type="spellEnd"/>
      <w:r w:rsidRPr="002E4B4C">
        <w:rPr>
          <w:rFonts w:ascii="Verdana" w:hAnsi="Verdana"/>
          <w:color w:val="000000"/>
          <w:sz w:val="20"/>
          <w:szCs w:val="20"/>
        </w:rPr>
        <w:t>, come ad es. “OK Compost”, “</w:t>
      </w:r>
      <w:proofErr w:type="spellStart"/>
      <w:r w:rsidRPr="002E4B4C">
        <w:rPr>
          <w:rFonts w:ascii="Verdana" w:hAnsi="Verdana"/>
          <w:color w:val="000000"/>
          <w:sz w:val="20"/>
          <w:szCs w:val="20"/>
        </w:rPr>
        <w:t>Compostable</w:t>
      </w:r>
      <w:proofErr w:type="spellEnd"/>
      <w:r w:rsidRPr="002E4B4C">
        <w:rPr>
          <w:rFonts w:ascii="Verdana" w:hAnsi="Verdana"/>
          <w:color w:val="000000"/>
          <w:sz w:val="20"/>
          <w:szCs w:val="20"/>
        </w:rPr>
        <w:t>” e “Compostabile CIC”. I loghi di tali Marchi sono inoltre dotati di un codice seguito da un numero (</w:t>
      </w:r>
      <w:proofErr w:type="spellStart"/>
      <w:r w:rsidRPr="002E4B4C">
        <w:rPr>
          <w:rFonts w:ascii="Verdana" w:hAnsi="Verdana"/>
          <w:color w:val="000000"/>
          <w:sz w:val="20"/>
          <w:szCs w:val="20"/>
        </w:rPr>
        <w:t>Sxxx</w:t>
      </w:r>
      <w:proofErr w:type="spellEnd"/>
      <w:r w:rsidRPr="002E4B4C">
        <w:rPr>
          <w:rFonts w:ascii="Verdana" w:hAnsi="Verdana"/>
          <w:color w:val="000000"/>
          <w:sz w:val="20"/>
          <w:szCs w:val="20"/>
        </w:rPr>
        <w:t xml:space="preserve"> o 7wxx) riferito a ogni azienda produttrice che deve assicurare anche la tracciabilità.</w:t>
      </w:r>
    </w:p>
    <w:p w:rsidR="00AB5E22" w:rsidRPr="002E4B4C" w:rsidRDefault="00AB5E22" w:rsidP="00AB5E22">
      <w:pPr>
        <w:autoSpaceDE w:val="0"/>
        <w:autoSpaceDN w:val="0"/>
        <w:adjustRightInd w:val="0"/>
        <w:jc w:val="both"/>
        <w:rPr>
          <w:rFonts w:ascii="Verdana" w:hAnsi="Verdana"/>
          <w:color w:val="000000"/>
          <w:sz w:val="20"/>
          <w:szCs w:val="20"/>
        </w:rPr>
      </w:pPr>
    </w:p>
    <w:p w:rsidR="00AB5E22" w:rsidRPr="002E4B4C" w:rsidRDefault="00AB5E22" w:rsidP="00AB5E22">
      <w:pPr>
        <w:autoSpaceDE w:val="0"/>
        <w:autoSpaceDN w:val="0"/>
        <w:adjustRightInd w:val="0"/>
        <w:jc w:val="both"/>
        <w:rPr>
          <w:rFonts w:ascii="Verdana" w:hAnsi="Verdana"/>
          <w:color w:val="000000"/>
          <w:sz w:val="20"/>
          <w:szCs w:val="20"/>
        </w:rPr>
      </w:pPr>
    </w:p>
    <w:p w:rsidR="00AB5E22" w:rsidRPr="002E4B4C" w:rsidRDefault="00AB5E22" w:rsidP="00AB5E22">
      <w:pPr>
        <w:autoSpaceDE w:val="0"/>
        <w:autoSpaceDN w:val="0"/>
        <w:adjustRightInd w:val="0"/>
        <w:jc w:val="center"/>
        <w:rPr>
          <w:rFonts w:ascii="Verdana" w:hAnsi="Verdana"/>
          <w:color w:val="000000"/>
          <w:sz w:val="20"/>
          <w:szCs w:val="20"/>
        </w:rPr>
      </w:pPr>
      <w:bookmarkStart w:id="0" w:name="_GoBack"/>
      <w:r w:rsidRPr="002E4B4C">
        <w:rPr>
          <w:rFonts w:ascii="Verdana" w:hAnsi="Verdana"/>
          <w:noProof/>
          <w:color w:val="000000"/>
          <w:sz w:val="20"/>
          <w:szCs w:val="20"/>
          <w:lang w:eastAsia="it-IT"/>
        </w:rPr>
        <w:drawing>
          <wp:inline distT="0" distB="0" distL="0" distR="0" wp14:anchorId="723FEFAC" wp14:editId="19DA8D1A">
            <wp:extent cx="2859405" cy="1917700"/>
            <wp:effectExtent l="0" t="0" r="0" b="6350"/>
            <wp:docPr id="2" name="Immagine 2" descr="news_foto_6558_marchi_compostabili_asia">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news_foto_6558_marchi_compostabili_asia"/>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859405" cy="1917700"/>
                    </a:xfrm>
                    <a:prstGeom prst="rect">
                      <a:avLst/>
                    </a:prstGeom>
                    <a:noFill/>
                    <a:ln>
                      <a:noFill/>
                    </a:ln>
                  </pic:spPr>
                </pic:pic>
              </a:graphicData>
            </a:graphic>
          </wp:inline>
        </w:drawing>
      </w:r>
      <w:bookmarkEnd w:id="0"/>
    </w:p>
    <w:p w:rsidR="00AB5E22" w:rsidRPr="002E4B4C" w:rsidRDefault="00AB5E22" w:rsidP="00AB5E22">
      <w:pPr>
        <w:autoSpaceDE w:val="0"/>
        <w:autoSpaceDN w:val="0"/>
        <w:adjustRightInd w:val="0"/>
        <w:jc w:val="both"/>
        <w:rPr>
          <w:rFonts w:ascii="Verdana" w:hAnsi="Verdana"/>
          <w:color w:val="000000"/>
          <w:sz w:val="20"/>
          <w:szCs w:val="20"/>
        </w:rPr>
      </w:pPr>
    </w:p>
    <w:p w:rsidR="00AB5E22" w:rsidRPr="002E4B4C" w:rsidRDefault="00AB5E22" w:rsidP="00AB5E22">
      <w:pPr>
        <w:autoSpaceDE w:val="0"/>
        <w:autoSpaceDN w:val="0"/>
        <w:adjustRightInd w:val="0"/>
        <w:jc w:val="both"/>
        <w:rPr>
          <w:rFonts w:ascii="Verdana" w:hAnsi="Verdana"/>
          <w:color w:val="000000"/>
          <w:sz w:val="20"/>
          <w:szCs w:val="20"/>
        </w:rPr>
      </w:pPr>
    </w:p>
    <w:p w:rsidR="00AB5E22" w:rsidRPr="002E4B4C" w:rsidRDefault="00AB5E22" w:rsidP="00AB5E22">
      <w:pPr>
        <w:autoSpaceDE w:val="0"/>
        <w:autoSpaceDN w:val="0"/>
        <w:adjustRightInd w:val="0"/>
        <w:jc w:val="center"/>
        <w:rPr>
          <w:rFonts w:ascii="Verdana" w:hAnsi="Verdana"/>
          <w:noProof/>
          <w:sz w:val="20"/>
          <w:szCs w:val="20"/>
          <w:lang w:eastAsia="it-IT"/>
        </w:rPr>
      </w:pPr>
      <w:r w:rsidRPr="002E4B4C">
        <w:rPr>
          <w:rFonts w:ascii="Verdana" w:hAnsi="Verdana"/>
          <w:noProof/>
          <w:color w:val="000000"/>
          <w:sz w:val="20"/>
          <w:szCs w:val="20"/>
          <w:lang w:eastAsia="it-IT"/>
        </w:rPr>
        <w:drawing>
          <wp:inline distT="0" distB="0" distL="0" distR="0" wp14:anchorId="7063DC69" wp14:editId="420B8A4D">
            <wp:extent cx="3964674" cy="297371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64776" cy="2973786"/>
                    </a:xfrm>
                    <a:prstGeom prst="rect">
                      <a:avLst/>
                    </a:prstGeom>
                  </pic:spPr>
                </pic:pic>
              </a:graphicData>
            </a:graphic>
          </wp:inline>
        </w:drawing>
      </w:r>
    </w:p>
    <w:p w:rsidR="00AB5E22" w:rsidRPr="002E4B4C" w:rsidRDefault="00AB5E22" w:rsidP="00AB5E22">
      <w:pPr>
        <w:autoSpaceDE w:val="0"/>
        <w:autoSpaceDN w:val="0"/>
        <w:adjustRightInd w:val="0"/>
        <w:jc w:val="both"/>
        <w:rPr>
          <w:rFonts w:ascii="Verdana" w:hAnsi="Verdana"/>
          <w:noProof/>
          <w:sz w:val="20"/>
          <w:szCs w:val="20"/>
          <w:lang w:eastAsia="it-IT"/>
        </w:rPr>
      </w:pPr>
    </w:p>
    <w:p w:rsidR="00AB5E22" w:rsidRPr="002E4B4C" w:rsidRDefault="00AB5E22" w:rsidP="00AB5E22">
      <w:pPr>
        <w:autoSpaceDE w:val="0"/>
        <w:autoSpaceDN w:val="0"/>
        <w:adjustRightInd w:val="0"/>
        <w:jc w:val="both"/>
        <w:rPr>
          <w:rFonts w:ascii="Verdana" w:hAnsi="Verdana"/>
          <w:noProof/>
          <w:sz w:val="20"/>
          <w:szCs w:val="20"/>
          <w:lang w:eastAsia="it-IT"/>
        </w:rPr>
      </w:pPr>
    </w:p>
    <w:p w:rsidR="00AB5E22" w:rsidRPr="002E4B4C" w:rsidRDefault="00AB5E22" w:rsidP="00AB5E22">
      <w:pPr>
        <w:autoSpaceDE w:val="0"/>
        <w:autoSpaceDN w:val="0"/>
        <w:adjustRightInd w:val="0"/>
        <w:jc w:val="both"/>
        <w:rPr>
          <w:rFonts w:ascii="Verdana" w:hAnsi="Verdana"/>
          <w:noProof/>
          <w:sz w:val="20"/>
          <w:szCs w:val="20"/>
          <w:lang w:eastAsia="it-IT"/>
        </w:rPr>
      </w:pPr>
    </w:p>
    <w:p w:rsidR="00AB5E22" w:rsidRPr="002E4B4C" w:rsidRDefault="00AB5E22" w:rsidP="00AB5E22">
      <w:pPr>
        <w:jc w:val="both"/>
        <w:rPr>
          <w:rFonts w:ascii="Verdana" w:hAnsi="Verdana"/>
          <w:b/>
          <w:noProof/>
          <w:sz w:val="20"/>
          <w:szCs w:val="20"/>
          <w:lang w:eastAsia="it-IT"/>
        </w:rPr>
      </w:pPr>
    </w:p>
    <w:p w:rsidR="00AB5E22" w:rsidRPr="002E4B4C" w:rsidRDefault="00AB5E22" w:rsidP="00AB5E22">
      <w:pPr>
        <w:jc w:val="center"/>
        <w:rPr>
          <w:rFonts w:ascii="Verdana" w:hAnsi="Verdana"/>
          <w:b/>
          <w:sz w:val="20"/>
          <w:szCs w:val="20"/>
        </w:rPr>
      </w:pPr>
      <w:r w:rsidRPr="002E4B4C">
        <w:rPr>
          <w:rFonts w:ascii="Verdana" w:hAnsi="Verdana"/>
          <w:b/>
          <w:noProof/>
          <w:sz w:val="20"/>
          <w:szCs w:val="20"/>
          <w:lang w:eastAsia="it-IT"/>
        </w:rPr>
        <w:lastRenderedPageBreak/>
        <w:drawing>
          <wp:inline distT="0" distB="0" distL="0" distR="0" wp14:anchorId="4FC583DD" wp14:editId="67609198">
            <wp:extent cx="5969642" cy="7260609"/>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2453"/>
                    <a:stretch/>
                  </pic:blipFill>
                  <pic:spPr bwMode="auto">
                    <a:xfrm>
                      <a:off x="0" y="0"/>
                      <a:ext cx="5969995" cy="7261038"/>
                    </a:xfrm>
                    <a:prstGeom prst="rect">
                      <a:avLst/>
                    </a:prstGeom>
                    <a:noFill/>
                    <a:ln>
                      <a:noFill/>
                    </a:ln>
                    <a:extLst>
                      <a:ext uri="{53640926-AAD7-44D8-BBD7-CCE9431645EC}">
                        <a14:shadowObscured xmlns:a14="http://schemas.microsoft.com/office/drawing/2010/main"/>
                      </a:ext>
                    </a:extLst>
                  </pic:spPr>
                </pic:pic>
              </a:graphicData>
            </a:graphic>
          </wp:inline>
        </w:drawing>
      </w:r>
    </w:p>
    <w:p w:rsidR="00AB5E22" w:rsidRPr="002E4B4C" w:rsidRDefault="00AB5E22" w:rsidP="00AB5E22">
      <w:pPr>
        <w:jc w:val="center"/>
        <w:rPr>
          <w:rFonts w:ascii="Verdana" w:hAnsi="Verdana"/>
          <w:b/>
          <w:sz w:val="20"/>
          <w:szCs w:val="20"/>
        </w:rPr>
      </w:pPr>
      <w:r w:rsidRPr="002E4B4C">
        <w:rPr>
          <w:rFonts w:ascii="Verdana" w:hAnsi="Verdana"/>
          <w:b/>
          <w:sz w:val="20"/>
          <w:szCs w:val="20"/>
        </w:rPr>
        <w:t>Fonte comune di Novara</w:t>
      </w:r>
    </w:p>
    <w:p w:rsidR="00412610" w:rsidRPr="002E4B4C" w:rsidRDefault="00412610" w:rsidP="00412610">
      <w:pPr>
        <w:autoSpaceDE w:val="0"/>
        <w:autoSpaceDN w:val="0"/>
        <w:adjustRightInd w:val="0"/>
        <w:jc w:val="both"/>
        <w:rPr>
          <w:rFonts w:ascii="Verdana" w:hAnsi="Verdana"/>
          <w:color w:val="000000"/>
          <w:sz w:val="20"/>
          <w:szCs w:val="20"/>
        </w:rPr>
      </w:pPr>
    </w:p>
    <w:p w:rsidR="0035221E" w:rsidRPr="002E4B4C" w:rsidRDefault="0035221E" w:rsidP="00813294">
      <w:pPr>
        <w:jc w:val="both"/>
        <w:rPr>
          <w:rFonts w:ascii="Verdana" w:hAnsi="Verdana"/>
          <w:b/>
          <w:sz w:val="20"/>
          <w:szCs w:val="20"/>
        </w:rPr>
      </w:pPr>
    </w:p>
    <w:p w:rsidR="00AA1195" w:rsidRPr="002E4B4C" w:rsidRDefault="00AA1195" w:rsidP="00813294">
      <w:pPr>
        <w:jc w:val="both"/>
        <w:rPr>
          <w:rFonts w:ascii="Verdana" w:hAnsi="Verdana"/>
          <w:b/>
          <w:sz w:val="20"/>
          <w:szCs w:val="20"/>
        </w:rPr>
      </w:pPr>
    </w:p>
    <w:sectPr w:rsidR="00AA1195" w:rsidRPr="002E4B4C">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sterStccNero-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C20DD"/>
    <w:multiLevelType w:val="multilevel"/>
    <w:tmpl w:val="E5BABC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nsid w:val="04864379"/>
    <w:multiLevelType w:val="hybridMultilevel"/>
    <w:tmpl w:val="910607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768380F"/>
    <w:multiLevelType w:val="hybridMultilevel"/>
    <w:tmpl w:val="87DC71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C8B4661"/>
    <w:multiLevelType w:val="multilevel"/>
    <w:tmpl w:val="820EDD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32B1634E"/>
    <w:multiLevelType w:val="hybridMultilevel"/>
    <w:tmpl w:val="A63A900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340E4651"/>
    <w:multiLevelType w:val="multilevel"/>
    <w:tmpl w:val="A7F4E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1F93406"/>
    <w:multiLevelType w:val="multilevel"/>
    <w:tmpl w:val="00369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5C85D99"/>
    <w:multiLevelType w:val="multilevel"/>
    <w:tmpl w:val="E0A833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481E5CA4"/>
    <w:multiLevelType w:val="hybridMultilevel"/>
    <w:tmpl w:val="A0E031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4F1A59BF"/>
    <w:multiLevelType w:val="hybridMultilevel"/>
    <w:tmpl w:val="7F1E38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54D667F6"/>
    <w:multiLevelType w:val="hybridMultilevel"/>
    <w:tmpl w:val="1B84FB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5D4A3686"/>
    <w:multiLevelType w:val="multilevel"/>
    <w:tmpl w:val="EA429B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nsid w:val="63F758AF"/>
    <w:multiLevelType w:val="hybridMultilevel"/>
    <w:tmpl w:val="F6F6F8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67D5275D"/>
    <w:multiLevelType w:val="hybridMultilevel"/>
    <w:tmpl w:val="CB62FD18"/>
    <w:lvl w:ilvl="0" w:tplc="CCC683E8">
      <w:start w:val="1"/>
      <w:numFmt w:val="lowerLetter"/>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4">
    <w:nsid w:val="7886108C"/>
    <w:multiLevelType w:val="multilevel"/>
    <w:tmpl w:val="0980A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7B53648C"/>
    <w:multiLevelType w:val="hybridMultilevel"/>
    <w:tmpl w:val="1BE6BC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
  </w:num>
  <w:num w:numId="4">
    <w:abstractNumId w:val="9"/>
  </w:num>
  <w:num w:numId="5">
    <w:abstractNumId w:val="4"/>
  </w:num>
  <w:num w:numId="6">
    <w:abstractNumId w:val="15"/>
  </w:num>
  <w:num w:numId="7">
    <w:abstractNumId w:val="8"/>
  </w:num>
  <w:num w:numId="8">
    <w:abstractNumId w:val="11"/>
  </w:num>
  <w:num w:numId="9">
    <w:abstractNumId w:val="3"/>
  </w:num>
  <w:num w:numId="10">
    <w:abstractNumId w:val="0"/>
  </w:num>
  <w:num w:numId="11">
    <w:abstractNumId w:val="7"/>
  </w:num>
  <w:num w:numId="12">
    <w:abstractNumId w:val="12"/>
  </w:num>
  <w:num w:numId="13">
    <w:abstractNumId w:val="10"/>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3294"/>
    <w:rsid w:val="00000D70"/>
    <w:rsid w:val="000927AA"/>
    <w:rsid w:val="001477D4"/>
    <w:rsid w:val="00172914"/>
    <w:rsid w:val="001F42CE"/>
    <w:rsid w:val="002D1FC3"/>
    <w:rsid w:val="002E4B4C"/>
    <w:rsid w:val="00316D3B"/>
    <w:rsid w:val="0035221E"/>
    <w:rsid w:val="003545BB"/>
    <w:rsid w:val="003E4229"/>
    <w:rsid w:val="003F2AE2"/>
    <w:rsid w:val="00412610"/>
    <w:rsid w:val="00427159"/>
    <w:rsid w:val="00606A8C"/>
    <w:rsid w:val="00613770"/>
    <w:rsid w:val="00664E3D"/>
    <w:rsid w:val="00744D62"/>
    <w:rsid w:val="007537B4"/>
    <w:rsid w:val="007907DA"/>
    <w:rsid w:val="0080243D"/>
    <w:rsid w:val="00813294"/>
    <w:rsid w:val="008832BC"/>
    <w:rsid w:val="00890DD8"/>
    <w:rsid w:val="00941D83"/>
    <w:rsid w:val="00A15035"/>
    <w:rsid w:val="00AA1195"/>
    <w:rsid w:val="00AB5E22"/>
    <w:rsid w:val="00B205AC"/>
    <w:rsid w:val="00C313E1"/>
    <w:rsid w:val="00C805F2"/>
    <w:rsid w:val="00D300A4"/>
    <w:rsid w:val="00F938C9"/>
    <w:rsid w:val="00FC2AF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13294"/>
    <w:pPr>
      <w:spacing w:after="0" w:line="240" w:lineRule="auto"/>
    </w:pPr>
    <w:rPr>
      <w:rFonts w:ascii="Times New Roman" w:eastAsia="Times New Roman" w:hAnsi="Times New Roman" w:cs="Times New Roman"/>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3">
    <w:name w:val="Body Text 3"/>
    <w:basedOn w:val="Normale"/>
    <w:link w:val="Corpodeltesto3Carattere"/>
    <w:semiHidden/>
    <w:rsid w:val="00813294"/>
    <w:pPr>
      <w:jc w:val="both"/>
    </w:pPr>
    <w:rPr>
      <w:rFonts w:ascii="Verdana" w:hAnsi="Verdana"/>
      <w:sz w:val="20"/>
      <w:szCs w:val="20"/>
      <w:lang w:eastAsia="it-IT"/>
    </w:rPr>
  </w:style>
  <w:style w:type="character" w:customStyle="1" w:styleId="Corpodeltesto3Carattere">
    <w:name w:val="Corpo del testo 3 Carattere"/>
    <w:basedOn w:val="Carpredefinitoparagrafo"/>
    <w:link w:val="Corpodeltesto3"/>
    <w:semiHidden/>
    <w:rsid w:val="00813294"/>
    <w:rPr>
      <w:rFonts w:ascii="Verdana" w:eastAsia="Times New Roman" w:hAnsi="Verdana" w:cs="Times New Roman"/>
      <w:sz w:val="20"/>
      <w:szCs w:val="20"/>
      <w:lang w:eastAsia="it-IT"/>
    </w:rPr>
  </w:style>
  <w:style w:type="paragraph" w:customStyle="1" w:styleId="Default">
    <w:name w:val="Default"/>
    <w:rsid w:val="00813294"/>
    <w:pPr>
      <w:autoSpaceDE w:val="0"/>
      <w:autoSpaceDN w:val="0"/>
      <w:adjustRightInd w:val="0"/>
      <w:spacing w:after="0" w:line="240" w:lineRule="auto"/>
    </w:pPr>
    <w:rPr>
      <w:rFonts w:ascii="Garamond" w:eastAsia="Times New Roman" w:hAnsi="Garamond" w:cs="Times New Roman"/>
      <w:color w:val="000000"/>
      <w:sz w:val="24"/>
      <w:szCs w:val="24"/>
      <w:lang w:eastAsia="it-IT"/>
    </w:rPr>
  </w:style>
  <w:style w:type="paragraph" w:styleId="NormaleWeb">
    <w:name w:val="Normal (Web)"/>
    <w:basedOn w:val="Normale"/>
    <w:uiPriority w:val="99"/>
    <w:semiHidden/>
    <w:unhideWhenUsed/>
    <w:rsid w:val="00412610"/>
    <w:rPr>
      <w:lang w:eastAsia="it-IT"/>
    </w:rPr>
  </w:style>
  <w:style w:type="character" w:styleId="Collegamentoipertestuale">
    <w:name w:val="Hyperlink"/>
    <w:basedOn w:val="Carpredefinitoparagrafo"/>
    <w:uiPriority w:val="99"/>
    <w:semiHidden/>
    <w:unhideWhenUsed/>
    <w:rsid w:val="007537B4"/>
    <w:rPr>
      <w:strike w:val="0"/>
      <w:dstrike w:val="0"/>
      <w:color w:val="000000"/>
      <w:u w:val="none"/>
      <w:effect w:val="none"/>
    </w:rPr>
  </w:style>
  <w:style w:type="character" w:styleId="Enfasigrassetto">
    <w:name w:val="Strong"/>
    <w:basedOn w:val="Carpredefinitoparagrafo"/>
    <w:uiPriority w:val="22"/>
    <w:qFormat/>
    <w:rsid w:val="0080243D"/>
    <w:rPr>
      <w:b/>
      <w:bCs/>
    </w:rPr>
  </w:style>
  <w:style w:type="paragraph" w:styleId="Paragrafoelenco">
    <w:name w:val="List Paragraph"/>
    <w:basedOn w:val="Normale"/>
    <w:uiPriority w:val="34"/>
    <w:qFormat/>
    <w:rsid w:val="00D300A4"/>
    <w:pPr>
      <w:ind w:left="720"/>
      <w:contextualSpacing/>
    </w:pPr>
  </w:style>
  <w:style w:type="character" w:customStyle="1" w:styleId="st1">
    <w:name w:val="st1"/>
    <w:basedOn w:val="Carpredefinitoparagrafo"/>
    <w:rsid w:val="00316D3B"/>
  </w:style>
  <w:style w:type="character" w:styleId="Enfasicorsivo">
    <w:name w:val="Emphasis"/>
    <w:basedOn w:val="Carpredefinitoparagrafo"/>
    <w:uiPriority w:val="20"/>
    <w:qFormat/>
    <w:rsid w:val="00000D70"/>
    <w:rPr>
      <w:i/>
      <w:iCs/>
    </w:rPr>
  </w:style>
  <w:style w:type="paragraph" w:styleId="Testofumetto">
    <w:name w:val="Balloon Text"/>
    <w:basedOn w:val="Normale"/>
    <w:link w:val="TestofumettoCarattere"/>
    <w:uiPriority w:val="99"/>
    <w:semiHidden/>
    <w:unhideWhenUsed/>
    <w:rsid w:val="00000D7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00D70"/>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13294"/>
    <w:pPr>
      <w:spacing w:after="0" w:line="240" w:lineRule="auto"/>
    </w:pPr>
    <w:rPr>
      <w:rFonts w:ascii="Times New Roman" w:eastAsia="Times New Roman" w:hAnsi="Times New Roman" w:cs="Times New Roman"/>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3">
    <w:name w:val="Body Text 3"/>
    <w:basedOn w:val="Normale"/>
    <w:link w:val="Corpodeltesto3Carattere"/>
    <w:semiHidden/>
    <w:rsid w:val="00813294"/>
    <w:pPr>
      <w:jc w:val="both"/>
    </w:pPr>
    <w:rPr>
      <w:rFonts w:ascii="Verdana" w:hAnsi="Verdana"/>
      <w:sz w:val="20"/>
      <w:szCs w:val="20"/>
      <w:lang w:eastAsia="it-IT"/>
    </w:rPr>
  </w:style>
  <w:style w:type="character" w:customStyle="1" w:styleId="Corpodeltesto3Carattere">
    <w:name w:val="Corpo del testo 3 Carattere"/>
    <w:basedOn w:val="Carpredefinitoparagrafo"/>
    <w:link w:val="Corpodeltesto3"/>
    <w:semiHidden/>
    <w:rsid w:val="00813294"/>
    <w:rPr>
      <w:rFonts w:ascii="Verdana" w:eastAsia="Times New Roman" w:hAnsi="Verdana" w:cs="Times New Roman"/>
      <w:sz w:val="20"/>
      <w:szCs w:val="20"/>
      <w:lang w:eastAsia="it-IT"/>
    </w:rPr>
  </w:style>
  <w:style w:type="paragraph" w:customStyle="1" w:styleId="Default">
    <w:name w:val="Default"/>
    <w:rsid w:val="00813294"/>
    <w:pPr>
      <w:autoSpaceDE w:val="0"/>
      <w:autoSpaceDN w:val="0"/>
      <w:adjustRightInd w:val="0"/>
      <w:spacing w:after="0" w:line="240" w:lineRule="auto"/>
    </w:pPr>
    <w:rPr>
      <w:rFonts w:ascii="Garamond" w:eastAsia="Times New Roman" w:hAnsi="Garamond" w:cs="Times New Roman"/>
      <w:color w:val="000000"/>
      <w:sz w:val="24"/>
      <w:szCs w:val="24"/>
      <w:lang w:eastAsia="it-IT"/>
    </w:rPr>
  </w:style>
  <w:style w:type="paragraph" w:styleId="NormaleWeb">
    <w:name w:val="Normal (Web)"/>
    <w:basedOn w:val="Normale"/>
    <w:uiPriority w:val="99"/>
    <w:semiHidden/>
    <w:unhideWhenUsed/>
    <w:rsid w:val="00412610"/>
    <w:rPr>
      <w:lang w:eastAsia="it-IT"/>
    </w:rPr>
  </w:style>
  <w:style w:type="character" w:styleId="Collegamentoipertestuale">
    <w:name w:val="Hyperlink"/>
    <w:basedOn w:val="Carpredefinitoparagrafo"/>
    <w:uiPriority w:val="99"/>
    <w:semiHidden/>
    <w:unhideWhenUsed/>
    <w:rsid w:val="007537B4"/>
    <w:rPr>
      <w:strike w:val="0"/>
      <w:dstrike w:val="0"/>
      <w:color w:val="000000"/>
      <w:u w:val="none"/>
      <w:effect w:val="none"/>
    </w:rPr>
  </w:style>
  <w:style w:type="character" w:styleId="Enfasigrassetto">
    <w:name w:val="Strong"/>
    <w:basedOn w:val="Carpredefinitoparagrafo"/>
    <w:uiPriority w:val="22"/>
    <w:qFormat/>
    <w:rsid w:val="0080243D"/>
    <w:rPr>
      <w:b/>
      <w:bCs/>
    </w:rPr>
  </w:style>
  <w:style w:type="paragraph" w:styleId="Paragrafoelenco">
    <w:name w:val="List Paragraph"/>
    <w:basedOn w:val="Normale"/>
    <w:uiPriority w:val="34"/>
    <w:qFormat/>
    <w:rsid w:val="00D300A4"/>
    <w:pPr>
      <w:ind w:left="720"/>
      <w:contextualSpacing/>
    </w:pPr>
  </w:style>
  <w:style w:type="character" w:customStyle="1" w:styleId="st1">
    <w:name w:val="st1"/>
    <w:basedOn w:val="Carpredefinitoparagrafo"/>
    <w:rsid w:val="00316D3B"/>
  </w:style>
  <w:style w:type="character" w:styleId="Enfasicorsivo">
    <w:name w:val="Emphasis"/>
    <w:basedOn w:val="Carpredefinitoparagrafo"/>
    <w:uiPriority w:val="20"/>
    <w:qFormat/>
    <w:rsid w:val="00000D70"/>
    <w:rPr>
      <w:i/>
      <w:iCs/>
    </w:rPr>
  </w:style>
  <w:style w:type="paragraph" w:styleId="Testofumetto">
    <w:name w:val="Balloon Text"/>
    <w:basedOn w:val="Normale"/>
    <w:link w:val="TestofumettoCarattere"/>
    <w:uiPriority w:val="99"/>
    <w:semiHidden/>
    <w:unhideWhenUsed/>
    <w:rsid w:val="00000D7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00D70"/>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947016">
      <w:bodyDiv w:val="1"/>
      <w:marLeft w:val="0"/>
      <w:marRight w:val="0"/>
      <w:marTop w:val="0"/>
      <w:marBottom w:val="0"/>
      <w:divBdr>
        <w:top w:val="none" w:sz="0" w:space="0" w:color="auto"/>
        <w:left w:val="none" w:sz="0" w:space="0" w:color="auto"/>
        <w:bottom w:val="none" w:sz="0" w:space="0" w:color="auto"/>
        <w:right w:val="none" w:sz="0" w:space="0" w:color="auto"/>
      </w:divBdr>
    </w:div>
    <w:div w:id="614754238">
      <w:bodyDiv w:val="1"/>
      <w:marLeft w:val="0"/>
      <w:marRight w:val="0"/>
      <w:marTop w:val="0"/>
      <w:marBottom w:val="0"/>
      <w:divBdr>
        <w:top w:val="none" w:sz="0" w:space="0" w:color="auto"/>
        <w:left w:val="none" w:sz="0" w:space="0" w:color="auto"/>
        <w:bottom w:val="none" w:sz="0" w:space="0" w:color="auto"/>
        <w:right w:val="none" w:sz="0" w:space="0" w:color="auto"/>
      </w:divBdr>
    </w:div>
    <w:div w:id="764889173">
      <w:bodyDiv w:val="1"/>
      <w:marLeft w:val="0"/>
      <w:marRight w:val="0"/>
      <w:marTop w:val="0"/>
      <w:marBottom w:val="0"/>
      <w:divBdr>
        <w:top w:val="none" w:sz="0" w:space="0" w:color="auto"/>
        <w:left w:val="none" w:sz="0" w:space="0" w:color="auto"/>
        <w:bottom w:val="none" w:sz="0" w:space="0" w:color="auto"/>
        <w:right w:val="none" w:sz="0" w:space="0" w:color="auto"/>
      </w:divBdr>
    </w:div>
    <w:div w:id="897744186">
      <w:bodyDiv w:val="1"/>
      <w:marLeft w:val="0"/>
      <w:marRight w:val="0"/>
      <w:marTop w:val="0"/>
      <w:marBottom w:val="0"/>
      <w:divBdr>
        <w:top w:val="none" w:sz="0" w:space="0" w:color="auto"/>
        <w:left w:val="none" w:sz="0" w:space="0" w:color="auto"/>
        <w:bottom w:val="none" w:sz="0" w:space="0" w:color="auto"/>
        <w:right w:val="none" w:sz="0" w:space="0" w:color="auto"/>
      </w:divBdr>
      <w:divsChild>
        <w:div w:id="28995737">
          <w:marLeft w:val="0"/>
          <w:marRight w:val="0"/>
          <w:marTop w:val="0"/>
          <w:marBottom w:val="0"/>
          <w:divBdr>
            <w:top w:val="none" w:sz="0" w:space="0" w:color="auto"/>
            <w:left w:val="none" w:sz="0" w:space="0" w:color="auto"/>
            <w:bottom w:val="none" w:sz="0" w:space="0" w:color="auto"/>
            <w:right w:val="none" w:sz="0" w:space="0" w:color="auto"/>
          </w:divBdr>
          <w:divsChild>
            <w:div w:id="1037006126">
              <w:marLeft w:val="0"/>
              <w:marRight w:val="0"/>
              <w:marTop w:val="30"/>
              <w:marBottom w:val="30"/>
              <w:divBdr>
                <w:top w:val="none" w:sz="0" w:space="0" w:color="auto"/>
                <w:left w:val="none" w:sz="0" w:space="0" w:color="auto"/>
                <w:bottom w:val="none" w:sz="0" w:space="0" w:color="auto"/>
                <w:right w:val="none" w:sz="0" w:space="0" w:color="auto"/>
              </w:divBdr>
              <w:divsChild>
                <w:div w:id="1883906475">
                  <w:marLeft w:val="0"/>
                  <w:marRight w:val="0"/>
                  <w:marTop w:val="0"/>
                  <w:marBottom w:val="0"/>
                  <w:divBdr>
                    <w:top w:val="single" w:sz="6" w:space="0" w:color="CCCCCC"/>
                    <w:left w:val="none" w:sz="0" w:space="0" w:color="auto"/>
                    <w:bottom w:val="none" w:sz="0" w:space="0" w:color="auto"/>
                    <w:right w:val="none" w:sz="0" w:space="0" w:color="auto"/>
                  </w:divBdr>
                  <w:divsChild>
                    <w:div w:id="198535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950133">
      <w:bodyDiv w:val="1"/>
      <w:marLeft w:val="0"/>
      <w:marRight w:val="0"/>
      <w:marTop w:val="0"/>
      <w:marBottom w:val="0"/>
      <w:divBdr>
        <w:top w:val="none" w:sz="0" w:space="0" w:color="auto"/>
        <w:left w:val="none" w:sz="0" w:space="0" w:color="auto"/>
        <w:bottom w:val="none" w:sz="0" w:space="0" w:color="auto"/>
        <w:right w:val="none" w:sz="0" w:space="0" w:color="auto"/>
      </w:divBdr>
    </w:div>
    <w:div w:id="1207789931">
      <w:bodyDiv w:val="1"/>
      <w:marLeft w:val="0"/>
      <w:marRight w:val="0"/>
      <w:marTop w:val="0"/>
      <w:marBottom w:val="0"/>
      <w:divBdr>
        <w:top w:val="none" w:sz="0" w:space="0" w:color="auto"/>
        <w:left w:val="none" w:sz="0" w:space="0" w:color="auto"/>
        <w:bottom w:val="none" w:sz="0" w:space="0" w:color="auto"/>
        <w:right w:val="none" w:sz="0" w:space="0" w:color="auto"/>
      </w:divBdr>
      <w:divsChild>
        <w:div w:id="1586720951">
          <w:marLeft w:val="0"/>
          <w:marRight w:val="0"/>
          <w:marTop w:val="0"/>
          <w:marBottom w:val="0"/>
          <w:divBdr>
            <w:top w:val="none" w:sz="0" w:space="0" w:color="auto"/>
            <w:left w:val="none" w:sz="0" w:space="0" w:color="auto"/>
            <w:bottom w:val="none" w:sz="0" w:space="0" w:color="auto"/>
            <w:right w:val="none" w:sz="0" w:space="0" w:color="auto"/>
          </w:divBdr>
        </w:div>
      </w:divsChild>
    </w:div>
    <w:div w:id="1275940754">
      <w:bodyDiv w:val="1"/>
      <w:marLeft w:val="0"/>
      <w:marRight w:val="0"/>
      <w:marTop w:val="0"/>
      <w:marBottom w:val="0"/>
      <w:divBdr>
        <w:top w:val="none" w:sz="0" w:space="0" w:color="auto"/>
        <w:left w:val="none" w:sz="0" w:space="0" w:color="auto"/>
        <w:bottom w:val="none" w:sz="0" w:space="0" w:color="auto"/>
        <w:right w:val="none" w:sz="0" w:space="0" w:color="auto"/>
      </w:divBdr>
      <w:divsChild>
        <w:div w:id="266544419">
          <w:marLeft w:val="0"/>
          <w:marRight w:val="0"/>
          <w:marTop w:val="0"/>
          <w:marBottom w:val="0"/>
          <w:divBdr>
            <w:top w:val="none" w:sz="0" w:space="0" w:color="auto"/>
            <w:left w:val="none" w:sz="0" w:space="0" w:color="auto"/>
            <w:bottom w:val="none" w:sz="0" w:space="0" w:color="auto"/>
            <w:right w:val="none" w:sz="0" w:space="0" w:color="auto"/>
          </w:divBdr>
        </w:div>
      </w:divsChild>
    </w:div>
    <w:div w:id="1321302207">
      <w:bodyDiv w:val="1"/>
      <w:marLeft w:val="0"/>
      <w:marRight w:val="0"/>
      <w:marTop w:val="0"/>
      <w:marBottom w:val="0"/>
      <w:divBdr>
        <w:top w:val="none" w:sz="0" w:space="0" w:color="auto"/>
        <w:left w:val="none" w:sz="0" w:space="0" w:color="auto"/>
        <w:bottom w:val="none" w:sz="0" w:space="0" w:color="auto"/>
        <w:right w:val="none" w:sz="0" w:space="0" w:color="auto"/>
      </w:divBdr>
      <w:divsChild>
        <w:div w:id="146553378">
          <w:marLeft w:val="0"/>
          <w:marRight w:val="0"/>
          <w:marTop w:val="0"/>
          <w:marBottom w:val="0"/>
          <w:divBdr>
            <w:top w:val="none" w:sz="0" w:space="0" w:color="auto"/>
            <w:left w:val="none" w:sz="0" w:space="0" w:color="auto"/>
            <w:bottom w:val="none" w:sz="0" w:space="0" w:color="auto"/>
            <w:right w:val="none" w:sz="0" w:space="0" w:color="auto"/>
          </w:divBdr>
        </w:div>
      </w:divsChild>
    </w:div>
    <w:div w:id="1695956106">
      <w:bodyDiv w:val="1"/>
      <w:marLeft w:val="0"/>
      <w:marRight w:val="0"/>
      <w:marTop w:val="0"/>
      <w:marBottom w:val="0"/>
      <w:divBdr>
        <w:top w:val="none" w:sz="0" w:space="0" w:color="auto"/>
        <w:left w:val="none" w:sz="0" w:space="0" w:color="auto"/>
        <w:bottom w:val="none" w:sz="0" w:space="0" w:color="auto"/>
        <w:right w:val="none" w:sz="0" w:space="0" w:color="auto"/>
      </w:divBdr>
    </w:div>
    <w:div w:id="1722287259">
      <w:bodyDiv w:val="1"/>
      <w:marLeft w:val="0"/>
      <w:marRight w:val="0"/>
      <w:marTop w:val="0"/>
      <w:marBottom w:val="0"/>
      <w:divBdr>
        <w:top w:val="none" w:sz="0" w:space="0" w:color="auto"/>
        <w:left w:val="none" w:sz="0" w:space="0" w:color="auto"/>
        <w:bottom w:val="none" w:sz="0" w:space="0" w:color="auto"/>
        <w:right w:val="none" w:sz="0" w:space="0" w:color="auto"/>
      </w:divBdr>
      <w:divsChild>
        <w:div w:id="1590892251">
          <w:marLeft w:val="0"/>
          <w:marRight w:val="0"/>
          <w:marTop w:val="0"/>
          <w:marBottom w:val="0"/>
          <w:divBdr>
            <w:top w:val="none" w:sz="0" w:space="0" w:color="auto"/>
            <w:left w:val="none" w:sz="0" w:space="0" w:color="auto"/>
            <w:bottom w:val="none" w:sz="0" w:space="0" w:color="auto"/>
            <w:right w:val="none" w:sz="0" w:space="0" w:color="auto"/>
          </w:divBdr>
        </w:div>
      </w:divsChild>
    </w:div>
    <w:div w:id="1762143213">
      <w:bodyDiv w:val="1"/>
      <w:marLeft w:val="0"/>
      <w:marRight w:val="0"/>
      <w:marTop w:val="0"/>
      <w:marBottom w:val="0"/>
      <w:divBdr>
        <w:top w:val="none" w:sz="0" w:space="0" w:color="auto"/>
        <w:left w:val="none" w:sz="0" w:space="0" w:color="auto"/>
        <w:bottom w:val="none" w:sz="0" w:space="0" w:color="auto"/>
        <w:right w:val="none" w:sz="0" w:space="0" w:color="auto"/>
      </w:divBdr>
      <w:divsChild>
        <w:div w:id="653991047">
          <w:marLeft w:val="0"/>
          <w:marRight w:val="0"/>
          <w:marTop w:val="0"/>
          <w:marBottom w:val="0"/>
          <w:divBdr>
            <w:top w:val="none" w:sz="0" w:space="0" w:color="auto"/>
            <w:left w:val="none" w:sz="0" w:space="0" w:color="auto"/>
            <w:bottom w:val="none" w:sz="0" w:space="0" w:color="auto"/>
            <w:right w:val="none" w:sz="0" w:space="0" w:color="auto"/>
          </w:divBdr>
          <w:divsChild>
            <w:div w:id="1337656802">
              <w:marLeft w:val="0"/>
              <w:marRight w:val="0"/>
              <w:marTop w:val="0"/>
              <w:marBottom w:val="0"/>
              <w:divBdr>
                <w:top w:val="none" w:sz="0" w:space="0" w:color="auto"/>
                <w:left w:val="none" w:sz="0" w:space="0" w:color="auto"/>
                <w:bottom w:val="none" w:sz="0" w:space="0" w:color="auto"/>
                <w:right w:val="none" w:sz="0" w:space="0" w:color="auto"/>
              </w:divBdr>
              <w:divsChild>
                <w:div w:id="64182919">
                  <w:marLeft w:val="0"/>
                  <w:marRight w:val="0"/>
                  <w:marTop w:val="0"/>
                  <w:marBottom w:val="0"/>
                  <w:divBdr>
                    <w:top w:val="none" w:sz="0" w:space="0" w:color="auto"/>
                    <w:left w:val="none" w:sz="0" w:space="0" w:color="auto"/>
                    <w:bottom w:val="none" w:sz="0" w:space="0" w:color="auto"/>
                    <w:right w:val="none" w:sz="0" w:space="0" w:color="auto"/>
                  </w:divBdr>
                  <w:divsChild>
                    <w:div w:id="1601445343">
                      <w:marLeft w:val="0"/>
                      <w:marRight w:val="0"/>
                      <w:marTop w:val="0"/>
                      <w:marBottom w:val="0"/>
                      <w:divBdr>
                        <w:top w:val="none" w:sz="0" w:space="0" w:color="auto"/>
                        <w:left w:val="none" w:sz="0" w:space="0" w:color="auto"/>
                        <w:bottom w:val="none" w:sz="0" w:space="0" w:color="auto"/>
                        <w:right w:val="none" w:sz="0" w:space="0" w:color="auto"/>
                      </w:divBdr>
                      <w:divsChild>
                        <w:div w:id="706639719">
                          <w:marLeft w:val="0"/>
                          <w:marRight w:val="0"/>
                          <w:marTop w:val="0"/>
                          <w:marBottom w:val="0"/>
                          <w:divBdr>
                            <w:top w:val="none" w:sz="0" w:space="0" w:color="auto"/>
                            <w:left w:val="none" w:sz="0" w:space="0" w:color="auto"/>
                            <w:bottom w:val="none" w:sz="0" w:space="0" w:color="auto"/>
                            <w:right w:val="none" w:sz="0" w:space="0" w:color="auto"/>
                          </w:divBdr>
                          <w:divsChild>
                            <w:div w:id="1944798617">
                              <w:marLeft w:val="0"/>
                              <w:marRight w:val="0"/>
                              <w:marTop w:val="0"/>
                              <w:marBottom w:val="0"/>
                              <w:divBdr>
                                <w:top w:val="none" w:sz="0" w:space="0" w:color="auto"/>
                                <w:left w:val="none" w:sz="0" w:space="0" w:color="auto"/>
                                <w:bottom w:val="none" w:sz="0" w:space="0" w:color="auto"/>
                                <w:right w:val="none" w:sz="0" w:space="0" w:color="auto"/>
                              </w:divBdr>
                              <w:divsChild>
                                <w:div w:id="194008370">
                                  <w:marLeft w:val="0"/>
                                  <w:marRight w:val="0"/>
                                  <w:marTop w:val="0"/>
                                  <w:marBottom w:val="150"/>
                                  <w:divBdr>
                                    <w:top w:val="none" w:sz="0" w:space="0" w:color="auto"/>
                                    <w:left w:val="none" w:sz="0" w:space="0" w:color="auto"/>
                                    <w:bottom w:val="none" w:sz="0" w:space="0" w:color="auto"/>
                                    <w:right w:val="none" w:sz="0" w:space="0" w:color="auto"/>
                                  </w:divBdr>
                                  <w:divsChild>
                                    <w:div w:id="645401090">
                                      <w:marLeft w:val="0"/>
                                      <w:marRight w:val="0"/>
                                      <w:marTop w:val="0"/>
                                      <w:marBottom w:val="0"/>
                                      <w:divBdr>
                                        <w:top w:val="none" w:sz="0" w:space="0" w:color="auto"/>
                                        <w:left w:val="none" w:sz="0" w:space="0" w:color="auto"/>
                                        <w:bottom w:val="none" w:sz="0" w:space="0" w:color="auto"/>
                                        <w:right w:val="none" w:sz="0" w:space="0" w:color="auto"/>
                                      </w:divBdr>
                                      <w:divsChild>
                                        <w:div w:id="906375105">
                                          <w:marLeft w:val="0"/>
                                          <w:marRight w:val="0"/>
                                          <w:marTop w:val="0"/>
                                          <w:marBottom w:val="0"/>
                                          <w:divBdr>
                                            <w:top w:val="none" w:sz="0" w:space="0" w:color="auto"/>
                                            <w:left w:val="none" w:sz="0" w:space="0" w:color="auto"/>
                                            <w:bottom w:val="none" w:sz="0" w:space="0" w:color="auto"/>
                                            <w:right w:val="none" w:sz="0" w:space="0" w:color="auto"/>
                                          </w:divBdr>
                                          <w:divsChild>
                                            <w:div w:id="194800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9125956">
      <w:bodyDiv w:val="1"/>
      <w:marLeft w:val="0"/>
      <w:marRight w:val="0"/>
      <w:marTop w:val="0"/>
      <w:marBottom w:val="0"/>
      <w:divBdr>
        <w:top w:val="none" w:sz="0" w:space="0" w:color="auto"/>
        <w:left w:val="none" w:sz="0" w:space="0" w:color="auto"/>
        <w:bottom w:val="none" w:sz="0" w:space="0" w:color="auto"/>
        <w:right w:val="none" w:sz="0" w:space="0" w:color="auto"/>
      </w:divBdr>
      <w:divsChild>
        <w:div w:id="740254616">
          <w:marLeft w:val="0"/>
          <w:marRight w:val="0"/>
          <w:marTop w:val="0"/>
          <w:marBottom w:val="0"/>
          <w:divBdr>
            <w:top w:val="none" w:sz="0" w:space="0" w:color="auto"/>
            <w:left w:val="none" w:sz="0" w:space="0" w:color="auto"/>
            <w:bottom w:val="none" w:sz="0" w:space="0" w:color="auto"/>
            <w:right w:val="none" w:sz="0" w:space="0" w:color="auto"/>
          </w:divBdr>
        </w:div>
      </w:divsChild>
    </w:div>
    <w:div w:id="1917740895">
      <w:bodyDiv w:val="1"/>
      <w:marLeft w:val="0"/>
      <w:marRight w:val="0"/>
      <w:marTop w:val="0"/>
      <w:marBottom w:val="0"/>
      <w:divBdr>
        <w:top w:val="none" w:sz="0" w:space="0" w:color="auto"/>
        <w:left w:val="none" w:sz="0" w:space="0" w:color="auto"/>
        <w:bottom w:val="none" w:sz="0" w:space="0" w:color="auto"/>
        <w:right w:val="none" w:sz="0" w:space="0" w:color="auto"/>
      </w:divBdr>
      <w:divsChild>
        <w:div w:id="80377867">
          <w:marLeft w:val="0"/>
          <w:marRight w:val="0"/>
          <w:marTop w:val="0"/>
          <w:marBottom w:val="0"/>
          <w:divBdr>
            <w:top w:val="none" w:sz="0" w:space="0" w:color="auto"/>
            <w:left w:val="none" w:sz="0" w:space="0" w:color="auto"/>
            <w:bottom w:val="none" w:sz="0" w:space="0" w:color="auto"/>
            <w:right w:val="none" w:sz="0" w:space="0" w:color="auto"/>
          </w:divBdr>
          <w:divsChild>
            <w:div w:id="743376996">
              <w:marLeft w:val="0"/>
              <w:marRight w:val="0"/>
              <w:marTop w:val="0"/>
              <w:marBottom w:val="0"/>
              <w:divBdr>
                <w:top w:val="none" w:sz="0" w:space="0" w:color="auto"/>
                <w:left w:val="none" w:sz="0" w:space="0" w:color="auto"/>
                <w:bottom w:val="none" w:sz="0" w:space="0" w:color="auto"/>
                <w:right w:val="none" w:sz="0" w:space="0" w:color="auto"/>
              </w:divBdr>
              <w:divsChild>
                <w:div w:id="31348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www.comune.gardoneriviera.bs.it/wp-content/uploads/news_foto_6558_marchi_compostabili_asia.jp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image" Target="media/image1.png"/><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cid:image001.jpg@01CFD1D4.CB752E00"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1266</Words>
  <Characters>7221</Characters>
  <Application>Microsoft Office Word</Application>
  <DocSecurity>0</DocSecurity>
  <Lines>60</Lines>
  <Paragraphs>16</Paragraphs>
  <ScaleCrop>false</ScaleCrop>
  <HeadingPairs>
    <vt:vector size="2" baseType="variant">
      <vt:variant>
        <vt:lpstr>Titolo</vt:lpstr>
      </vt:variant>
      <vt:variant>
        <vt:i4>1</vt:i4>
      </vt:variant>
    </vt:vector>
  </HeadingPairs>
  <TitlesOfParts>
    <vt:vector size="1" baseType="lpstr">
      <vt:lpstr/>
    </vt:vector>
  </TitlesOfParts>
  <Company>CONFCOMMERCIO</Company>
  <LinksUpToDate>false</LinksUpToDate>
  <CharactersWithSpaces>8471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Giardi</dc:creator>
  <cp:lastModifiedBy>Santini</cp:lastModifiedBy>
  <cp:revision>2</cp:revision>
  <dcterms:created xsi:type="dcterms:W3CDTF">2014-09-25T10:45:00Z</dcterms:created>
  <dcterms:modified xsi:type="dcterms:W3CDTF">2014-09-25T10:45:00Z</dcterms:modified>
</cp:coreProperties>
</file>